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C5" w:rsidRPr="002152BB" w:rsidRDefault="002471C5" w:rsidP="002152BB">
      <w:pPr>
        <w:jc w:val="center"/>
        <w:rPr>
          <w:lang w:val="fr-FR"/>
        </w:rPr>
      </w:pPr>
      <w:bookmarkStart w:id="0" w:name="_GoBack"/>
      <w:bookmarkEnd w:id="0"/>
    </w:p>
    <w:p w:rsidR="00FC42A7" w:rsidRPr="002152BB" w:rsidRDefault="00FC42A7" w:rsidP="002152BB">
      <w:pPr>
        <w:jc w:val="center"/>
        <w:rPr>
          <w:lang w:val="fr-FR"/>
        </w:rPr>
      </w:pPr>
    </w:p>
    <w:p w:rsidR="00E77CB3" w:rsidRPr="002152BB" w:rsidRDefault="00852B47" w:rsidP="002152BB">
      <w:pPr>
        <w:jc w:val="center"/>
        <w:rPr>
          <w:lang w:val="fr-FR"/>
        </w:rPr>
      </w:pPr>
      <w:r w:rsidRPr="002152BB">
        <w:rPr>
          <w:lang w:val="fr-FR"/>
        </w:rPr>
        <w:t>PREMIÈRE SECTION</w:t>
      </w:r>
    </w:p>
    <w:p w:rsidR="00E77CB3" w:rsidRPr="002152BB" w:rsidRDefault="00E77CB3" w:rsidP="002152BB">
      <w:pPr>
        <w:jc w:val="center"/>
        <w:rPr>
          <w:lang w:val="fr-FR"/>
        </w:rPr>
      </w:pPr>
    </w:p>
    <w:p w:rsidR="00FC42A7" w:rsidRPr="002152BB" w:rsidRDefault="00FC42A7" w:rsidP="002152BB">
      <w:pPr>
        <w:jc w:val="center"/>
        <w:rPr>
          <w:lang w:val="fr-FR"/>
        </w:rPr>
      </w:pPr>
    </w:p>
    <w:p w:rsidR="00FC42A7" w:rsidRPr="002152BB" w:rsidRDefault="00FC42A7" w:rsidP="002152BB">
      <w:pPr>
        <w:jc w:val="center"/>
        <w:rPr>
          <w:lang w:val="fr-FR"/>
        </w:rPr>
      </w:pPr>
    </w:p>
    <w:p w:rsidR="00FC42A7" w:rsidRPr="002152BB" w:rsidRDefault="00FC42A7" w:rsidP="002152BB">
      <w:pPr>
        <w:jc w:val="center"/>
        <w:rPr>
          <w:lang w:val="fr-FR"/>
        </w:rPr>
      </w:pPr>
    </w:p>
    <w:p w:rsidR="00FC42A7" w:rsidRPr="002152BB" w:rsidRDefault="00FC42A7" w:rsidP="002152BB">
      <w:pPr>
        <w:jc w:val="center"/>
        <w:rPr>
          <w:lang w:val="fr-FR"/>
        </w:rPr>
      </w:pPr>
    </w:p>
    <w:p w:rsidR="00FC42A7" w:rsidRPr="002152BB" w:rsidRDefault="00FC42A7" w:rsidP="002152BB">
      <w:pPr>
        <w:jc w:val="center"/>
        <w:rPr>
          <w:lang w:val="fr-FR"/>
        </w:rPr>
      </w:pPr>
    </w:p>
    <w:p w:rsidR="00E77CB3" w:rsidRPr="002152BB" w:rsidRDefault="00E77CB3" w:rsidP="002152BB">
      <w:pPr>
        <w:jc w:val="center"/>
        <w:rPr>
          <w:b/>
          <w:lang w:val="fr-FR"/>
        </w:rPr>
      </w:pPr>
      <w:bookmarkStart w:id="1" w:name="To"/>
      <w:r w:rsidRPr="002152BB">
        <w:rPr>
          <w:b/>
          <w:lang w:val="fr-FR"/>
        </w:rPr>
        <w:t xml:space="preserve">AFFAIRE </w:t>
      </w:r>
      <w:bookmarkEnd w:id="1"/>
      <w:r w:rsidR="00852B47" w:rsidRPr="002152BB">
        <w:rPr>
          <w:b/>
          <w:lang w:val="fr-FR"/>
        </w:rPr>
        <w:t>HUZUNEANU c. ITALIE</w:t>
      </w:r>
    </w:p>
    <w:p w:rsidR="00E77CB3" w:rsidRPr="002152BB" w:rsidRDefault="00E77CB3" w:rsidP="002152BB">
      <w:pPr>
        <w:jc w:val="center"/>
        <w:rPr>
          <w:lang w:val="fr-FR"/>
        </w:rPr>
      </w:pPr>
    </w:p>
    <w:p w:rsidR="00FC42A7" w:rsidRPr="002152BB" w:rsidRDefault="00E77CB3" w:rsidP="002152BB">
      <w:pPr>
        <w:jc w:val="center"/>
        <w:rPr>
          <w:szCs w:val="24"/>
          <w:lang w:val="fr-FR"/>
        </w:rPr>
      </w:pPr>
      <w:r w:rsidRPr="002152BB">
        <w:rPr>
          <w:i/>
          <w:lang w:val="fr-FR"/>
        </w:rPr>
        <w:t>(</w:t>
      </w:r>
      <w:r w:rsidR="00852B47" w:rsidRPr="002152BB">
        <w:rPr>
          <w:i/>
          <w:lang w:val="fr-FR"/>
        </w:rPr>
        <w:t>Requête n</w:t>
      </w:r>
      <w:r w:rsidR="00852B47" w:rsidRPr="002152BB">
        <w:rPr>
          <w:i/>
          <w:vertAlign w:val="superscript"/>
          <w:lang w:val="fr-FR"/>
        </w:rPr>
        <w:t>o</w:t>
      </w:r>
      <w:r w:rsidR="00852B47" w:rsidRPr="002152BB">
        <w:rPr>
          <w:i/>
          <w:lang w:val="fr-FR"/>
        </w:rPr>
        <w:t xml:space="preserve"> 36043/08</w:t>
      </w:r>
      <w:r w:rsidRPr="002152BB">
        <w:rPr>
          <w:i/>
          <w:lang w:val="fr-FR"/>
        </w:rPr>
        <w:t>)</w:t>
      </w:r>
    </w:p>
    <w:p w:rsidR="00FC42A7" w:rsidRPr="002152BB" w:rsidRDefault="00FC42A7"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center"/>
        <w:rPr>
          <w:szCs w:val="24"/>
          <w:lang w:val="fr-FR"/>
        </w:rPr>
      </w:pPr>
    </w:p>
    <w:p w:rsidR="00310038" w:rsidRPr="002152BB" w:rsidRDefault="00310038" w:rsidP="002152BB">
      <w:pPr>
        <w:jc w:val="center"/>
        <w:rPr>
          <w:szCs w:val="24"/>
          <w:lang w:val="fr-FR"/>
        </w:rPr>
      </w:pPr>
    </w:p>
    <w:p w:rsidR="00310038" w:rsidRPr="002152BB" w:rsidRDefault="00310038"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center"/>
        <w:rPr>
          <w:szCs w:val="24"/>
          <w:lang w:val="fr-FR"/>
        </w:rPr>
      </w:pPr>
      <w:r w:rsidRPr="002152BB">
        <w:rPr>
          <w:szCs w:val="24"/>
          <w:lang w:val="fr-FR"/>
        </w:rPr>
        <w:t>ARRÊT</w:t>
      </w:r>
    </w:p>
    <w:p w:rsidR="00FC42A7" w:rsidRPr="002152BB" w:rsidRDefault="00FC42A7"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center"/>
        <w:rPr>
          <w:szCs w:val="24"/>
          <w:lang w:val="fr-FR"/>
        </w:rPr>
      </w:pPr>
      <w:r w:rsidRPr="002152BB">
        <w:rPr>
          <w:szCs w:val="24"/>
          <w:lang w:val="fr-FR"/>
        </w:rPr>
        <w:t>STRASBOURG</w:t>
      </w:r>
    </w:p>
    <w:p w:rsidR="00FC42A7" w:rsidRPr="002152BB" w:rsidRDefault="00FC42A7" w:rsidP="002152BB">
      <w:pPr>
        <w:jc w:val="center"/>
        <w:rPr>
          <w:szCs w:val="24"/>
          <w:lang w:val="fr-FR"/>
        </w:rPr>
      </w:pPr>
    </w:p>
    <w:p w:rsidR="00FC42A7" w:rsidRPr="002152BB" w:rsidRDefault="002471C5" w:rsidP="002152BB">
      <w:pPr>
        <w:jc w:val="center"/>
        <w:rPr>
          <w:szCs w:val="24"/>
          <w:lang w:val="fr-FR"/>
        </w:rPr>
      </w:pPr>
      <w:r w:rsidRPr="002152BB">
        <w:rPr>
          <w:szCs w:val="24"/>
          <w:lang w:val="fr-FR"/>
        </w:rPr>
        <w:t>1er septembre 2016</w:t>
      </w:r>
    </w:p>
    <w:p w:rsidR="00FC42A7" w:rsidRPr="002152BB" w:rsidRDefault="00FC42A7" w:rsidP="002152BB">
      <w:pPr>
        <w:jc w:val="center"/>
        <w:rPr>
          <w:szCs w:val="24"/>
          <w:lang w:val="fr-FR"/>
        </w:rPr>
      </w:pPr>
    </w:p>
    <w:p w:rsidR="002471C5" w:rsidRPr="002152BB" w:rsidRDefault="002471C5" w:rsidP="002152BB">
      <w:pPr>
        <w:jc w:val="center"/>
        <w:rPr>
          <w:szCs w:val="24"/>
          <w:lang w:val="fr-FR"/>
        </w:rPr>
      </w:pPr>
    </w:p>
    <w:p w:rsidR="002471C5" w:rsidRPr="002152BB" w:rsidRDefault="002471C5" w:rsidP="002152BB">
      <w:pPr>
        <w:jc w:val="center"/>
        <w:rPr>
          <w:szCs w:val="24"/>
          <w:lang w:val="fr-FR"/>
        </w:rPr>
      </w:pPr>
    </w:p>
    <w:p w:rsidR="002471C5" w:rsidRPr="002152BB" w:rsidRDefault="002471C5" w:rsidP="002152BB">
      <w:pPr>
        <w:jc w:val="center"/>
        <w:rPr>
          <w:szCs w:val="24"/>
          <w:lang w:val="fr-FR"/>
        </w:rPr>
      </w:pPr>
    </w:p>
    <w:p w:rsidR="00FC42A7" w:rsidRPr="002152BB" w:rsidRDefault="00FC42A7" w:rsidP="002152BB">
      <w:pPr>
        <w:jc w:val="center"/>
        <w:rPr>
          <w:szCs w:val="24"/>
          <w:lang w:val="fr-FR"/>
        </w:rPr>
      </w:pPr>
    </w:p>
    <w:p w:rsidR="00FC42A7" w:rsidRPr="002152BB" w:rsidRDefault="00FC42A7" w:rsidP="002152BB">
      <w:pPr>
        <w:jc w:val="left"/>
        <w:rPr>
          <w:i/>
          <w:szCs w:val="24"/>
          <w:lang w:val="fr-FR"/>
        </w:rPr>
      </w:pPr>
      <w:r w:rsidRPr="002152BB">
        <w:rPr>
          <w:i/>
          <w:szCs w:val="24"/>
          <w:lang w:val="fr-FR"/>
        </w:rPr>
        <w:t>Cet arrêt deviendra définitif dans les conditions définies à l</w:t>
      </w:r>
      <w:r w:rsidR="002152BB" w:rsidRPr="002152BB">
        <w:rPr>
          <w:i/>
          <w:szCs w:val="24"/>
          <w:lang w:val="fr-FR"/>
        </w:rPr>
        <w:t>’</w:t>
      </w:r>
      <w:r w:rsidRPr="002152BB">
        <w:rPr>
          <w:i/>
          <w:szCs w:val="24"/>
          <w:lang w:val="fr-FR"/>
        </w:rPr>
        <w:t>article 44 § 2 de la Convention. Il peut subir des retouches de forme.</w:t>
      </w:r>
    </w:p>
    <w:p w:rsidR="00FC42A7" w:rsidRPr="002152BB" w:rsidRDefault="00FC42A7" w:rsidP="002152BB">
      <w:pPr>
        <w:pStyle w:val="ECHRPara"/>
        <w:ind w:firstLine="0"/>
        <w:rPr>
          <w:lang w:val="fr-FR"/>
        </w:rPr>
        <w:sectPr w:rsidR="00FC42A7" w:rsidRPr="002152BB" w:rsidSect="00FC42A7">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2152BB" w:rsidRDefault="00E77CB3" w:rsidP="002152BB">
      <w:pPr>
        <w:pStyle w:val="JuCase"/>
        <w:rPr>
          <w:lang w:val="fr-FR"/>
        </w:rPr>
      </w:pPr>
      <w:r w:rsidRPr="002152BB">
        <w:rPr>
          <w:lang w:val="fr-FR"/>
        </w:rPr>
        <w:lastRenderedPageBreak/>
        <w:t>En l</w:t>
      </w:r>
      <w:r w:rsidR="002152BB" w:rsidRPr="002152BB">
        <w:rPr>
          <w:lang w:val="fr-FR"/>
        </w:rPr>
        <w:t>’</w:t>
      </w:r>
      <w:r w:rsidRPr="002152BB">
        <w:rPr>
          <w:lang w:val="fr-FR"/>
        </w:rPr>
        <w:t xml:space="preserve">affaire </w:t>
      </w:r>
      <w:r w:rsidR="00852B47" w:rsidRPr="002152BB">
        <w:rPr>
          <w:lang w:val="fr-FR"/>
        </w:rPr>
        <w:t>Huzuneanu c. Italie</w:t>
      </w:r>
      <w:r w:rsidRPr="002152BB">
        <w:rPr>
          <w:lang w:val="fr-FR"/>
        </w:rPr>
        <w:t>,</w:t>
      </w:r>
    </w:p>
    <w:p w:rsidR="00E77CB3" w:rsidRPr="002152BB" w:rsidRDefault="00E77CB3" w:rsidP="002152BB">
      <w:pPr>
        <w:pStyle w:val="ECHRPara"/>
        <w:rPr>
          <w:lang w:val="fr-FR"/>
        </w:rPr>
      </w:pPr>
      <w:r w:rsidRPr="002152BB">
        <w:rPr>
          <w:lang w:val="fr-FR"/>
        </w:rPr>
        <w:t>La Cour européenne des droits de l</w:t>
      </w:r>
      <w:r w:rsidR="002152BB" w:rsidRPr="002152BB">
        <w:rPr>
          <w:lang w:val="fr-FR"/>
        </w:rPr>
        <w:t>’</w:t>
      </w:r>
      <w:r w:rsidRPr="002152BB">
        <w:rPr>
          <w:lang w:val="fr-FR"/>
        </w:rPr>
        <w:t>homme (</w:t>
      </w:r>
      <w:r w:rsidR="00852B47" w:rsidRPr="002152BB">
        <w:rPr>
          <w:lang w:val="fr-FR"/>
        </w:rPr>
        <w:t>première section</w:t>
      </w:r>
      <w:r w:rsidRPr="002152BB">
        <w:rPr>
          <w:lang w:val="fr-FR"/>
        </w:rPr>
        <w:t xml:space="preserve">), siégeant en </w:t>
      </w:r>
      <w:r w:rsidR="00852B47" w:rsidRPr="002152BB">
        <w:rPr>
          <w:lang w:val="fr-FR"/>
        </w:rPr>
        <w:t>une chambre composée</w:t>
      </w:r>
      <w:r w:rsidRPr="002152BB">
        <w:rPr>
          <w:lang w:val="fr-FR"/>
        </w:rPr>
        <w:t xml:space="preserve"> de :</w:t>
      </w:r>
    </w:p>
    <w:p w:rsidR="00E77CB3" w:rsidRPr="002152BB" w:rsidRDefault="00FC42A7" w:rsidP="002152BB">
      <w:pPr>
        <w:pStyle w:val="ECHRDecisionBody"/>
        <w:rPr>
          <w:lang w:val="fr-FR"/>
        </w:rPr>
      </w:pPr>
      <w:r w:rsidRPr="002152BB">
        <w:rPr>
          <w:lang w:val="fr-FR"/>
        </w:rPr>
        <w:tab/>
        <w:t>Mirjana Lazarova Trajkovska,</w:t>
      </w:r>
      <w:r w:rsidRPr="002152BB">
        <w:rPr>
          <w:i/>
          <w:lang w:val="fr-FR"/>
        </w:rPr>
        <w:t xml:space="preserve"> présidente,</w:t>
      </w:r>
      <w:r w:rsidRPr="002152BB">
        <w:rPr>
          <w:i/>
          <w:lang w:val="fr-FR"/>
        </w:rPr>
        <w:br/>
      </w:r>
      <w:r w:rsidRPr="002152BB">
        <w:rPr>
          <w:lang w:val="fr-FR"/>
        </w:rPr>
        <w:tab/>
        <w:t>Ledi Bianku,</w:t>
      </w:r>
      <w:r w:rsidRPr="002152BB">
        <w:rPr>
          <w:i/>
          <w:lang w:val="fr-FR"/>
        </w:rPr>
        <w:br/>
      </w:r>
      <w:r w:rsidRPr="002152BB">
        <w:rPr>
          <w:lang w:val="fr-FR"/>
        </w:rPr>
        <w:tab/>
        <w:t>Guido Raimondi,</w:t>
      </w:r>
      <w:r w:rsidRPr="002152BB">
        <w:rPr>
          <w:i/>
          <w:lang w:val="fr-FR"/>
        </w:rPr>
        <w:br/>
      </w:r>
      <w:r w:rsidRPr="002152BB">
        <w:rPr>
          <w:lang w:val="fr-FR"/>
        </w:rPr>
        <w:tab/>
        <w:t>Kristina Pardalos,</w:t>
      </w:r>
      <w:r w:rsidRPr="002152BB">
        <w:rPr>
          <w:i/>
          <w:lang w:val="fr-FR"/>
        </w:rPr>
        <w:br/>
      </w:r>
      <w:r w:rsidRPr="002152BB">
        <w:rPr>
          <w:lang w:val="fr-FR"/>
        </w:rPr>
        <w:tab/>
        <w:t>Linos-Alexandre Sicilianos,</w:t>
      </w:r>
      <w:r w:rsidRPr="002152BB">
        <w:rPr>
          <w:i/>
          <w:lang w:val="fr-FR"/>
        </w:rPr>
        <w:br/>
      </w:r>
      <w:r w:rsidRPr="002152BB">
        <w:rPr>
          <w:lang w:val="fr-FR"/>
        </w:rPr>
        <w:tab/>
        <w:t>Aleš Pejchal,</w:t>
      </w:r>
      <w:r w:rsidRPr="002152BB">
        <w:rPr>
          <w:i/>
          <w:lang w:val="fr-FR"/>
        </w:rPr>
        <w:br/>
      </w:r>
      <w:r w:rsidRPr="002152BB">
        <w:rPr>
          <w:lang w:val="fr-FR"/>
        </w:rPr>
        <w:tab/>
        <w:t>Pauliine Koskelo,</w:t>
      </w:r>
      <w:r w:rsidRPr="002152BB">
        <w:rPr>
          <w:i/>
          <w:lang w:val="fr-FR"/>
        </w:rPr>
        <w:t xml:space="preserve"> juges,</w:t>
      </w:r>
      <w:r w:rsidRPr="002152BB">
        <w:rPr>
          <w:lang w:val="fr-FR"/>
        </w:rPr>
        <w:br/>
        <w:t>et d</w:t>
      </w:r>
      <w:r w:rsidR="002152BB" w:rsidRPr="002152BB">
        <w:rPr>
          <w:lang w:val="fr-FR"/>
        </w:rPr>
        <w:t>’</w:t>
      </w:r>
      <w:r w:rsidR="00852B47" w:rsidRPr="002152BB">
        <w:rPr>
          <w:lang w:val="fr-FR"/>
        </w:rPr>
        <w:t>Abel Campos</w:t>
      </w:r>
      <w:r w:rsidR="00E77CB3" w:rsidRPr="002152BB">
        <w:rPr>
          <w:lang w:val="fr-FR"/>
        </w:rPr>
        <w:t xml:space="preserve">, </w:t>
      </w:r>
      <w:r w:rsidR="00852B47" w:rsidRPr="002152BB">
        <w:rPr>
          <w:i/>
          <w:lang w:val="fr-FR"/>
        </w:rPr>
        <w:t>greffier</w:t>
      </w:r>
      <w:r w:rsidR="00852B47" w:rsidRPr="002152BB">
        <w:rPr>
          <w:iCs/>
          <w:lang w:val="fr-FR"/>
        </w:rPr>
        <w:t xml:space="preserve"> </w:t>
      </w:r>
      <w:r w:rsidR="00852B47" w:rsidRPr="002152BB">
        <w:rPr>
          <w:i/>
          <w:iCs/>
          <w:lang w:val="fr-FR"/>
        </w:rPr>
        <w:t>d</w:t>
      </w:r>
      <w:r w:rsidR="00852B47" w:rsidRPr="002152BB">
        <w:rPr>
          <w:i/>
          <w:lang w:val="fr-FR"/>
        </w:rPr>
        <w:t>e section</w:t>
      </w:r>
      <w:r w:rsidR="00E77CB3" w:rsidRPr="002152BB">
        <w:rPr>
          <w:lang w:val="fr-FR"/>
        </w:rPr>
        <w:t>,</w:t>
      </w:r>
    </w:p>
    <w:p w:rsidR="00E77CB3" w:rsidRPr="002152BB" w:rsidRDefault="00E77CB3" w:rsidP="002152BB">
      <w:pPr>
        <w:pStyle w:val="ECHRPara"/>
        <w:rPr>
          <w:lang w:val="fr-FR"/>
        </w:rPr>
      </w:pPr>
      <w:r w:rsidRPr="002152BB">
        <w:rPr>
          <w:lang w:val="fr-FR"/>
        </w:rPr>
        <w:t xml:space="preserve">Après en avoir délibéré en chambre du conseil le </w:t>
      </w:r>
      <w:r w:rsidR="002471C5" w:rsidRPr="002152BB">
        <w:rPr>
          <w:lang w:val="fr-FR"/>
        </w:rPr>
        <w:t>5 juillet 2016</w:t>
      </w:r>
      <w:r w:rsidRPr="002152BB">
        <w:rPr>
          <w:lang w:val="fr-FR"/>
        </w:rPr>
        <w:t>,</w:t>
      </w:r>
    </w:p>
    <w:p w:rsidR="00E77CB3" w:rsidRPr="002152BB" w:rsidRDefault="00E77CB3" w:rsidP="002152BB">
      <w:pPr>
        <w:pStyle w:val="ECHRPara"/>
        <w:rPr>
          <w:lang w:val="fr-FR"/>
        </w:rPr>
      </w:pPr>
      <w:r w:rsidRPr="002152BB">
        <w:rPr>
          <w:lang w:val="fr-FR"/>
        </w:rPr>
        <w:t>Rend l</w:t>
      </w:r>
      <w:r w:rsidR="002152BB" w:rsidRPr="002152BB">
        <w:rPr>
          <w:lang w:val="fr-FR"/>
        </w:rPr>
        <w:t>’</w:t>
      </w:r>
      <w:r w:rsidRPr="002152BB">
        <w:rPr>
          <w:lang w:val="fr-FR"/>
        </w:rPr>
        <w:t>arrêt que voici, adopté à cette date :</w:t>
      </w:r>
    </w:p>
    <w:p w:rsidR="00E77CB3" w:rsidRPr="002152BB" w:rsidRDefault="00E77CB3" w:rsidP="002152BB">
      <w:pPr>
        <w:pStyle w:val="ECHRTitle1"/>
        <w:rPr>
          <w:lang w:val="fr-FR"/>
        </w:rPr>
      </w:pPr>
      <w:r w:rsidRPr="002152BB">
        <w:rPr>
          <w:lang w:val="fr-FR"/>
        </w:rPr>
        <w:t>PROCÉDURE</w:t>
      </w:r>
    </w:p>
    <w:p w:rsidR="00E77CB3"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w:t>
      </w:r>
      <w:r w:rsidRPr="002152BB">
        <w:rPr>
          <w:lang w:val="fr-FR"/>
        </w:rPr>
        <w:fldChar w:fldCharType="end"/>
      </w:r>
      <w:r w:rsidR="00E77CB3" w:rsidRPr="002152BB">
        <w:rPr>
          <w:lang w:val="fr-FR"/>
        </w:rPr>
        <w:t>.  À l</w:t>
      </w:r>
      <w:r w:rsidR="002152BB" w:rsidRPr="002152BB">
        <w:rPr>
          <w:lang w:val="fr-FR"/>
        </w:rPr>
        <w:t>’</w:t>
      </w:r>
      <w:r w:rsidR="00E77CB3" w:rsidRPr="002152BB">
        <w:rPr>
          <w:lang w:val="fr-FR"/>
        </w:rPr>
        <w:t>origine de l</w:t>
      </w:r>
      <w:r w:rsidR="002152BB" w:rsidRPr="002152BB">
        <w:rPr>
          <w:lang w:val="fr-FR"/>
        </w:rPr>
        <w:t>’</w:t>
      </w:r>
      <w:r w:rsidR="00E77CB3" w:rsidRPr="002152BB">
        <w:rPr>
          <w:lang w:val="fr-FR"/>
        </w:rPr>
        <w:t xml:space="preserve">affaire </w:t>
      </w:r>
      <w:r w:rsidRPr="002152BB">
        <w:rPr>
          <w:lang w:val="fr-FR"/>
        </w:rPr>
        <w:t>se trouve une requête (n</w:t>
      </w:r>
      <w:r w:rsidRPr="002152BB">
        <w:rPr>
          <w:vertAlign w:val="superscript"/>
          <w:lang w:val="fr-FR"/>
        </w:rPr>
        <w:t>o</w:t>
      </w:r>
      <w:r w:rsidRPr="002152BB">
        <w:rPr>
          <w:lang w:val="fr-FR"/>
        </w:rPr>
        <w:t xml:space="preserve"> 36043/08) dirigée</w:t>
      </w:r>
      <w:r w:rsidR="00E77CB3" w:rsidRPr="002152BB">
        <w:rPr>
          <w:lang w:val="fr-FR"/>
        </w:rPr>
        <w:t xml:space="preserve"> contre </w:t>
      </w:r>
      <w:r w:rsidRPr="002152BB">
        <w:rPr>
          <w:lang w:val="fr-FR"/>
        </w:rPr>
        <w:t>la République italienne</w:t>
      </w:r>
      <w:r w:rsidR="00E77CB3" w:rsidRPr="002152BB">
        <w:rPr>
          <w:lang w:val="fr-FR"/>
        </w:rPr>
        <w:t xml:space="preserve"> et dont </w:t>
      </w:r>
      <w:r w:rsidRPr="002152BB">
        <w:rPr>
          <w:lang w:val="fr-FR"/>
        </w:rPr>
        <w:t>un ressortissant roumain, M.</w:t>
      </w:r>
      <w:r w:rsidR="002471C5" w:rsidRPr="002152BB">
        <w:rPr>
          <w:lang w:val="fr-FR"/>
        </w:rPr>
        <w:t> Luciano </w:t>
      </w:r>
      <w:r w:rsidRPr="002152BB">
        <w:rPr>
          <w:lang w:val="fr-FR"/>
        </w:rPr>
        <w:t xml:space="preserve">Valentin Huzuneanu (« le requérant »), a saisi la Cour le </w:t>
      </w:r>
      <w:r w:rsidR="002471C5" w:rsidRPr="002152BB">
        <w:rPr>
          <w:lang w:val="fr-FR"/>
        </w:rPr>
        <w:t>17 </w:t>
      </w:r>
      <w:r w:rsidRPr="002152BB">
        <w:rPr>
          <w:lang w:val="fr-FR"/>
        </w:rPr>
        <w:t>juillet 2008</w:t>
      </w:r>
      <w:r w:rsidR="00E77CB3" w:rsidRPr="002152BB">
        <w:rPr>
          <w:lang w:val="fr-FR"/>
        </w:rPr>
        <w:t xml:space="preserve"> en vertu de </w:t>
      </w:r>
      <w:r w:rsidRPr="002152BB">
        <w:rPr>
          <w:lang w:val="fr-FR"/>
        </w:rPr>
        <w:t>l</w:t>
      </w:r>
      <w:r w:rsidR="002152BB" w:rsidRPr="002152BB">
        <w:rPr>
          <w:lang w:val="fr-FR"/>
        </w:rPr>
        <w:t>’</w:t>
      </w:r>
      <w:r w:rsidRPr="002152BB">
        <w:rPr>
          <w:lang w:val="fr-FR"/>
        </w:rPr>
        <w:t>article 34</w:t>
      </w:r>
      <w:r w:rsidR="00E77CB3" w:rsidRPr="002152BB">
        <w:rPr>
          <w:lang w:val="fr-FR"/>
        </w:rPr>
        <w:t xml:space="preserve"> de la Convention de sauvegarde des droits de l</w:t>
      </w:r>
      <w:r w:rsidR="002152BB" w:rsidRPr="002152BB">
        <w:rPr>
          <w:lang w:val="fr-FR"/>
        </w:rPr>
        <w:t>’</w:t>
      </w:r>
      <w:r w:rsidR="00E77CB3" w:rsidRPr="002152BB">
        <w:rPr>
          <w:lang w:val="fr-FR"/>
        </w:rPr>
        <w:t>homme et des libertés fondamentales (« la Convention »).</w:t>
      </w:r>
    </w:p>
    <w:p w:rsidR="00852B47"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w:t>
      </w:r>
      <w:r w:rsidRPr="002152BB">
        <w:rPr>
          <w:lang w:val="fr-FR"/>
        </w:rPr>
        <w:fldChar w:fldCharType="end"/>
      </w:r>
      <w:r w:rsidR="00E77CB3" w:rsidRPr="002152BB">
        <w:rPr>
          <w:lang w:val="fr-FR"/>
        </w:rPr>
        <w:t>.  </w:t>
      </w:r>
      <w:r w:rsidRPr="002152BB">
        <w:rPr>
          <w:lang w:val="fr-FR"/>
        </w:rPr>
        <w:t>Le requérant a été représenté par M</w:t>
      </w:r>
      <w:r w:rsidRPr="002152BB">
        <w:rPr>
          <w:vertAlign w:val="superscript"/>
          <w:lang w:val="fr-FR"/>
        </w:rPr>
        <w:t>e</w:t>
      </w:r>
      <w:r w:rsidRPr="002152BB">
        <w:rPr>
          <w:lang w:val="fr-FR"/>
        </w:rPr>
        <w:t> </w:t>
      </w:r>
      <w:r w:rsidR="00A819E0" w:rsidRPr="002152BB">
        <w:rPr>
          <w:lang w:val="fr-FR"/>
        </w:rPr>
        <w:t>M.</w:t>
      </w:r>
      <w:r w:rsidRPr="002152BB">
        <w:rPr>
          <w:lang w:val="fr-FR"/>
        </w:rPr>
        <w:t xml:space="preserve"> Monaco, avocat à Rom</w:t>
      </w:r>
      <w:r w:rsidR="006A077C" w:rsidRPr="002152BB">
        <w:rPr>
          <w:lang w:val="fr-FR"/>
        </w:rPr>
        <w:t>e</w:t>
      </w:r>
      <w:r w:rsidRPr="002152BB">
        <w:rPr>
          <w:lang w:val="fr-FR"/>
        </w:rPr>
        <w:t xml:space="preserve">. </w:t>
      </w:r>
      <w:r w:rsidR="00E77CB3" w:rsidRPr="002152BB">
        <w:rPr>
          <w:lang w:val="fr-FR"/>
        </w:rPr>
        <w:t xml:space="preserve">Le gouvernement </w:t>
      </w:r>
      <w:r w:rsidRPr="002152BB">
        <w:rPr>
          <w:lang w:val="fr-FR"/>
        </w:rPr>
        <w:t>italien</w:t>
      </w:r>
      <w:r w:rsidR="00E77CB3" w:rsidRPr="002152BB">
        <w:rPr>
          <w:lang w:val="fr-FR"/>
        </w:rPr>
        <w:t xml:space="preserve"> (« le Gouvernement ») a été représenté par son agent, </w:t>
      </w:r>
      <w:r w:rsidR="00A819E0" w:rsidRPr="002152BB">
        <w:rPr>
          <w:lang w:val="fr-FR"/>
        </w:rPr>
        <w:t>M</w:t>
      </w:r>
      <w:r w:rsidR="00A819E0" w:rsidRPr="002152BB">
        <w:rPr>
          <w:vertAlign w:val="superscript"/>
          <w:lang w:val="fr-FR"/>
        </w:rPr>
        <w:t>me</w:t>
      </w:r>
      <w:r w:rsidR="00A819E0" w:rsidRPr="002152BB">
        <w:rPr>
          <w:lang w:val="fr-FR"/>
        </w:rPr>
        <w:t xml:space="preserve"> E. Spatafora</w:t>
      </w:r>
      <w:r w:rsidR="00E77CB3" w:rsidRPr="002152BB">
        <w:rPr>
          <w:lang w:val="fr-FR"/>
        </w:rPr>
        <w:t xml:space="preserve">, </w:t>
      </w:r>
      <w:r w:rsidR="006A2B40" w:rsidRPr="002152BB">
        <w:rPr>
          <w:lang w:val="fr-FR"/>
        </w:rPr>
        <w:t>et pas son coagent</w:t>
      </w:r>
      <w:r w:rsidR="00A819E0" w:rsidRPr="002152BB">
        <w:rPr>
          <w:lang w:val="fr-FR"/>
        </w:rPr>
        <w:t>, M</w:t>
      </w:r>
      <w:r w:rsidR="006A2B40" w:rsidRPr="002152BB">
        <w:rPr>
          <w:vertAlign w:val="superscript"/>
          <w:lang w:val="fr-FR"/>
        </w:rPr>
        <w:t>me</w:t>
      </w:r>
      <w:r w:rsidR="006A2B40" w:rsidRPr="002152BB">
        <w:rPr>
          <w:lang w:val="fr-FR"/>
        </w:rPr>
        <w:t xml:space="preserve"> P. Accardo.</w:t>
      </w:r>
    </w:p>
    <w:p w:rsidR="00E0705F"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w:t>
      </w:r>
      <w:r w:rsidRPr="002152BB">
        <w:rPr>
          <w:lang w:val="fr-FR"/>
        </w:rPr>
        <w:fldChar w:fldCharType="end"/>
      </w:r>
      <w:r w:rsidRPr="002152BB">
        <w:rPr>
          <w:lang w:val="fr-FR"/>
        </w:rPr>
        <w:t xml:space="preserve">.  Le requérant allègue </w:t>
      </w:r>
      <w:r w:rsidR="00E0705F" w:rsidRPr="002152BB">
        <w:rPr>
          <w:lang w:val="fr-FR"/>
        </w:rPr>
        <w:t>qu</w:t>
      </w:r>
      <w:r w:rsidR="002152BB" w:rsidRPr="002152BB">
        <w:rPr>
          <w:lang w:val="fr-FR"/>
        </w:rPr>
        <w:t>’</w:t>
      </w:r>
      <w:r w:rsidR="00E0705F" w:rsidRPr="002152BB">
        <w:rPr>
          <w:lang w:val="fr-FR"/>
        </w:rPr>
        <w:t>il a été condamné par contumace sans avoir eu l</w:t>
      </w:r>
      <w:r w:rsidR="002152BB" w:rsidRPr="002152BB">
        <w:rPr>
          <w:lang w:val="fr-FR"/>
        </w:rPr>
        <w:t>’</w:t>
      </w:r>
      <w:r w:rsidR="00E0705F" w:rsidRPr="002152BB">
        <w:rPr>
          <w:lang w:val="fr-FR"/>
        </w:rPr>
        <w:t>opportunité de présenter sa défense devant les juridictions italiennes, en violation de l</w:t>
      </w:r>
      <w:r w:rsidR="002152BB" w:rsidRPr="002152BB">
        <w:rPr>
          <w:lang w:val="fr-FR"/>
        </w:rPr>
        <w:t>’</w:t>
      </w:r>
      <w:r w:rsidR="00E0705F" w:rsidRPr="002152BB">
        <w:rPr>
          <w:lang w:val="fr-FR"/>
        </w:rPr>
        <w:t>article 6 de la Convention.</w:t>
      </w:r>
    </w:p>
    <w:p w:rsidR="00094DBF"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w:t>
      </w:r>
      <w:r w:rsidRPr="002152BB">
        <w:rPr>
          <w:lang w:val="fr-FR"/>
        </w:rPr>
        <w:fldChar w:fldCharType="end"/>
      </w:r>
      <w:r w:rsidR="00E77CB3" w:rsidRPr="002152BB">
        <w:rPr>
          <w:lang w:val="fr-FR"/>
        </w:rPr>
        <w:t>.  </w:t>
      </w:r>
      <w:r w:rsidRPr="002152BB">
        <w:rPr>
          <w:lang w:val="fr-FR"/>
        </w:rPr>
        <w:t xml:space="preserve">Le </w:t>
      </w:r>
      <w:r w:rsidRPr="002152BB">
        <w:rPr>
          <w:szCs w:val="24"/>
          <w:lang w:val="fr-FR"/>
        </w:rPr>
        <w:t>19 octobre 2012</w:t>
      </w:r>
      <w:r w:rsidR="00E77CB3" w:rsidRPr="002152BB">
        <w:rPr>
          <w:lang w:val="fr-FR"/>
        </w:rPr>
        <w:t xml:space="preserve">, </w:t>
      </w:r>
      <w:r w:rsidRPr="002152BB">
        <w:rPr>
          <w:lang w:val="fr-FR"/>
        </w:rPr>
        <w:t>la requête a été communiquée au Gouvernement</w:t>
      </w:r>
      <w:r w:rsidR="00C1262B" w:rsidRPr="002152BB">
        <w:rPr>
          <w:lang w:val="fr-FR"/>
        </w:rPr>
        <w:t>.</w:t>
      </w:r>
      <w:r w:rsidR="00094DBF" w:rsidRPr="002152BB">
        <w:rPr>
          <w:lang w:val="fr-FR"/>
        </w:rPr>
        <w:t xml:space="preserve"> Le gouvernement roumain n</w:t>
      </w:r>
      <w:r w:rsidR="002152BB" w:rsidRPr="002152BB">
        <w:rPr>
          <w:lang w:val="fr-FR"/>
        </w:rPr>
        <w:t>’</w:t>
      </w:r>
      <w:r w:rsidR="00094DBF" w:rsidRPr="002152BB">
        <w:rPr>
          <w:lang w:val="fr-FR"/>
        </w:rPr>
        <w:t>a pas usé de son droit d</w:t>
      </w:r>
      <w:r w:rsidR="002152BB" w:rsidRPr="002152BB">
        <w:rPr>
          <w:lang w:val="fr-FR"/>
        </w:rPr>
        <w:t>’</w:t>
      </w:r>
      <w:r w:rsidR="00094DBF" w:rsidRPr="002152BB">
        <w:rPr>
          <w:lang w:val="fr-FR"/>
        </w:rPr>
        <w:t>intervenir dans la procédure (article 36 § 1 de la Convention).</w:t>
      </w:r>
    </w:p>
    <w:p w:rsidR="00730A0F" w:rsidRPr="002152BB" w:rsidRDefault="00730A0F" w:rsidP="002152BB">
      <w:pPr>
        <w:pStyle w:val="ECHRPara"/>
        <w:rPr>
          <w:szCs w:val="24"/>
          <w:lang w:val="fr-FR" w:eastAsia="en-GB"/>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5</w:t>
      </w:r>
      <w:r w:rsidRPr="002152BB">
        <w:rPr>
          <w:lang w:val="fr-FR"/>
        </w:rPr>
        <w:fldChar w:fldCharType="end"/>
      </w:r>
      <w:r w:rsidRPr="002152BB">
        <w:rPr>
          <w:lang w:val="fr-FR"/>
        </w:rPr>
        <w:t>.  Le Gouvernement a déposé des observations sur la recevabilité et le fond de la requête. Le requérant n</w:t>
      </w:r>
      <w:r w:rsidR="002152BB" w:rsidRPr="002152BB">
        <w:rPr>
          <w:lang w:val="fr-FR"/>
        </w:rPr>
        <w:t>’</w:t>
      </w:r>
      <w:r w:rsidRPr="002152BB">
        <w:rPr>
          <w:lang w:val="fr-FR"/>
        </w:rPr>
        <w:t>a pas déposé d</w:t>
      </w:r>
      <w:r w:rsidR="002152BB" w:rsidRPr="002152BB">
        <w:rPr>
          <w:lang w:val="fr-FR"/>
        </w:rPr>
        <w:t>’</w:t>
      </w:r>
      <w:r w:rsidRPr="002152BB">
        <w:rPr>
          <w:lang w:val="fr-FR"/>
        </w:rPr>
        <w:t>observations</w:t>
      </w:r>
      <w:r w:rsidR="00DF6669" w:rsidRPr="002152BB">
        <w:rPr>
          <w:lang w:val="fr-FR"/>
        </w:rPr>
        <w:t xml:space="preserve"> ; il </w:t>
      </w:r>
      <w:r w:rsidRPr="002152BB">
        <w:rPr>
          <w:lang w:val="fr-FR"/>
        </w:rPr>
        <w:t xml:space="preserve">a </w:t>
      </w:r>
      <w:r w:rsidR="00DF6669" w:rsidRPr="002152BB">
        <w:rPr>
          <w:lang w:val="fr-FR"/>
        </w:rPr>
        <w:t xml:space="preserve">cependant </w:t>
      </w:r>
      <w:r w:rsidRPr="002152BB">
        <w:rPr>
          <w:lang w:val="fr-FR"/>
        </w:rPr>
        <w:t>exprimé son souhait que l</w:t>
      </w:r>
      <w:r w:rsidR="002152BB" w:rsidRPr="002152BB">
        <w:rPr>
          <w:lang w:val="fr-FR"/>
        </w:rPr>
        <w:t>’</w:t>
      </w:r>
      <w:r w:rsidRPr="002152BB">
        <w:rPr>
          <w:lang w:val="fr-FR"/>
        </w:rPr>
        <w:t xml:space="preserve">examen </w:t>
      </w:r>
      <w:r w:rsidR="00DF6669" w:rsidRPr="002152BB">
        <w:rPr>
          <w:lang w:val="fr-FR"/>
        </w:rPr>
        <w:t xml:space="preserve">de </w:t>
      </w:r>
      <w:r w:rsidRPr="002152BB">
        <w:rPr>
          <w:lang w:val="fr-FR"/>
        </w:rPr>
        <w:t>la requête par la Cour se poursuive.</w:t>
      </w:r>
    </w:p>
    <w:p w:rsidR="00E77CB3" w:rsidRPr="002152BB" w:rsidRDefault="00E77CB3" w:rsidP="002152BB">
      <w:pPr>
        <w:pStyle w:val="ECHRTitle1"/>
        <w:tabs>
          <w:tab w:val="left" w:pos="5387"/>
        </w:tabs>
        <w:rPr>
          <w:lang w:val="fr-FR"/>
        </w:rPr>
      </w:pPr>
      <w:r w:rsidRPr="002152BB">
        <w:rPr>
          <w:lang w:val="fr-FR"/>
        </w:rPr>
        <w:t>EN FAIT</w:t>
      </w:r>
    </w:p>
    <w:p w:rsidR="00E77CB3" w:rsidRPr="002152BB" w:rsidRDefault="00E77CB3" w:rsidP="002152BB">
      <w:pPr>
        <w:pStyle w:val="ECHRHeading1"/>
        <w:rPr>
          <w:lang w:val="fr-FR"/>
        </w:rPr>
      </w:pPr>
      <w:r w:rsidRPr="002152BB">
        <w:rPr>
          <w:lang w:val="fr-FR"/>
        </w:rPr>
        <w:t>I.  LES CIRCONSTANCES DE L</w:t>
      </w:r>
      <w:r w:rsidR="002152BB" w:rsidRPr="002152BB">
        <w:rPr>
          <w:lang w:val="fr-FR"/>
        </w:rPr>
        <w:t>’</w:t>
      </w:r>
      <w:r w:rsidRPr="002152BB">
        <w:rPr>
          <w:lang w:val="fr-FR"/>
        </w:rPr>
        <w:t>ESPÈCE</w:t>
      </w:r>
    </w:p>
    <w:p w:rsidR="00E77CB3"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6</w:t>
      </w:r>
      <w:r w:rsidRPr="002152BB">
        <w:rPr>
          <w:lang w:val="fr-FR"/>
        </w:rPr>
        <w:fldChar w:fldCharType="end"/>
      </w:r>
      <w:r w:rsidR="00E77CB3" w:rsidRPr="002152BB">
        <w:rPr>
          <w:lang w:val="fr-FR"/>
        </w:rPr>
        <w:t>.  </w:t>
      </w:r>
      <w:r w:rsidRPr="002152BB">
        <w:rPr>
          <w:lang w:val="fr-FR"/>
        </w:rPr>
        <w:t xml:space="preserve">Le requérant est né en 1973 et réside </w:t>
      </w:r>
      <w:r w:rsidR="00A819E0" w:rsidRPr="002152BB">
        <w:rPr>
          <w:lang w:val="fr-FR"/>
        </w:rPr>
        <w:t xml:space="preserve">en </w:t>
      </w:r>
      <w:r w:rsidRPr="002152BB">
        <w:rPr>
          <w:lang w:val="fr-FR"/>
        </w:rPr>
        <w:t>Ro</w:t>
      </w:r>
      <w:r w:rsidR="00A819E0" w:rsidRPr="002152BB">
        <w:rPr>
          <w:lang w:val="fr-FR"/>
        </w:rPr>
        <w:t>umanie</w:t>
      </w:r>
      <w:r w:rsidR="00E77CB3" w:rsidRPr="002152BB">
        <w:rPr>
          <w:lang w:val="fr-FR"/>
        </w:rPr>
        <w:t>.</w:t>
      </w:r>
    </w:p>
    <w:p w:rsidR="00E77CB3" w:rsidRPr="002152BB" w:rsidRDefault="00852B47" w:rsidP="002152BB">
      <w:pPr>
        <w:pStyle w:val="ECHRPara"/>
        <w:rPr>
          <w:lang w:val="fr-FR"/>
        </w:rPr>
      </w:pPr>
      <w:r w:rsidRPr="002152BB">
        <w:rPr>
          <w:lang w:val="fr-FR"/>
        </w:rPr>
        <w:lastRenderedPageBreak/>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7</w:t>
      </w:r>
      <w:r w:rsidRPr="002152BB">
        <w:rPr>
          <w:lang w:val="fr-FR"/>
        </w:rPr>
        <w:fldChar w:fldCharType="end"/>
      </w:r>
      <w:r w:rsidR="00E77CB3" w:rsidRPr="002152BB">
        <w:rPr>
          <w:lang w:val="fr-FR"/>
        </w:rPr>
        <w:t>.  </w:t>
      </w:r>
      <w:r w:rsidR="009C5CE8" w:rsidRPr="002152BB">
        <w:rPr>
          <w:lang w:val="fr-FR"/>
        </w:rPr>
        <w:t>Les faits de la cause, tels qu</w:t>
      </w:r>
      <w:r w:rsidR="002152BB" w:rsidRPr="002152BB">
        <w:rPr>
          <w:lang w:val="fr-FR"/>
        </w:rPr>
        <w:t>’</w:t>
      </w:r>
      <w:r w:rsidR="009C5CE8" w:rsidRPr="002152BB">
        <w:rPr>
          <w:lang w:val="fr-FR"/>
        </w:rPr>
        <w:t>ils ont été exposés par les parties, peuvent se résumer comme suit.</w:t>
      </w:r>
    </w:p>
    <w:p w:rsidR="00A819E0" w:rsidRPr="002152BB" w:rsidRDefault="001928F1" w:rsidP="002152BB">
      <w:pPr>
        <w:pStyle w:val="ECHRHeading2"/>
        <w:outlineLvl w:val="0"/>
        <w:rPr>
          <w:lang w:val="fr-FR"/>
        </w:rPr>
      </w:pPr>
      <w:r w:rsidRPr="002152BB">
        <w:rPr>
          <w:lang w:val="fr-FR"/>
        </w:rPr>
        <w:t>A</w:t>
      </w:r>
      <w:r w:rsidR="00F903BA" w:rsidRPr="002152BB">
        <w:rPr>
          <w:lang w:val="fr-FR"/>
        </w:rPr>
        <w:t>.  </w:t>
      </w:r>
      <w:r w:rsidR="002471C5" w:rsidRPr="002152BB">
        <w:rPr>
          <w:lang w:val="fr-FR"/>
        </w:rPr>
        <w:t>La procédure pénale</w:t>
      </w:r>
    </w:p>
    <w:p w:rsidR="00310038" w:rsidRPr="002152BB" w:rsidRDefault="009C5CE8"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8</w:t>
      </w:r>
      <w:r w:rsidRPr="002152BB">
        <w:rPr>
          <w:lang w:val="fr-FR"/>
        </w:rPr>
        <w:fldChar w:fldCharType="end"/>
      </w:r>
      <w:r w:rsidRPr="002152BB">
        <w:rPr>
          <w:lang w:val="fr-FR"/>
        </w:rPr>
        <w:t>.  </w:t>
      </w:r>
      <w:r w:rsidR="00A819E0" w:rsidRPr="002152BB">
        <w:rPr>
          <w:lang w:val="fr-FR"/>
        </w:rPr>
        <w:t>Le 21 juillet 2001, le juge des investigations préliminaires de Rome ordonna le placement en détention provisoire du requérant. Ce dernier était soupçonné de meurtre.</w:t>
      </w:r>
    </w:p>
    <w:p w:rsidR="00A819E0" w:rsidRPr="002152BB" w:rsidRDefault="009C5CE8"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9</w:t>
      </w:r>
      <w:r w:rsidRPr="002152BB">
        <w:rPr>
          <w:lang w:val="fr-FR"/>
        </w:rPr>
        <w:fldChar w:fldCharType="end"/>
      </w:r>
      <w:r w:rsidRPr="002152BB">
        <w:rPr>
          <w:lang w:val="fr-FR"/>
        </w:rPr>
        <w:t>.  </w:t>
      </w:r>
      <w:r w:rsidR="00A819E0" w:rsidRPr="002152BB">
        <w:rPr>
          <w:lang w:val="fr-FR"/>
        </w:rPr>
        <w:t>Les tentatives de la police de trouver le requérant n</w:t>
      </w:r>
      <w:r w:rsidR="002152BB" w:rsidRPr="002152BB">
        <w:rPr>
          <w:lang w:val="fr-FR"/>
        </w:rPr>
        <w:t>’</w:t>
      </w:r>
      <w:r w:rsidR="00A819E0" w:rsidRPr="002152BB">
        <w:rPr>
          <w:lang w:val="fr-FR"/>
        </w:rPr>
        <w:t>ayant pas abouti, le 2</w:t>
      </w:r>
      <w:r w:rsidR="00011353" w:rsidRPr="002152BB">
        <w:rPr>
          <w:lang w:val="fr-FR"/>
        </w:rPr>
        <w:t>5</w:t>
      </w:r>
      <w:r w:rsidR="00A819E0" w:rsidRPr="002152BB">
        <w:rPr>
          <w:lang w:val="fr-FR"/>
        </w:rPr>
        <w:t xml:space="preserve"> juillet 2001, la police de Rome rédigea un procès-verbal de « vaines recherches ». </w:t>
      </w:r>
      <w:r w:rsidRPr="002152BB">
        <w:rPr>
          <w:lang w:val="fr-FR"/>
        </w:rPr>
        <w:t>À</w:t>
      </w:r>
      <w:r w:rsidR="00A819E0" w:rsidRPr="002152BB">
        <w:rPr>
          <w:lang w:val="fr-FR"/>
        </w:rPr>
        <w:t xml:space="preserve"> défaut d</w:t>
      </w:r>
      <w:r w:rsidR="002152BB" w:rsidRPr="002152BB">
        <w:rPr>
          <w:lang w:val="fr-FR"/>
        </w:rPr>
        <w:t>’</w:t>
      </w:r>
      <w:r w:rsidR="00A819E0" w:rsidRPr="002152BB">
        <w:rPr>
          <w:lang w:val="fr-FR"/>
        </w:rPr>
        <w:t>avoir trouvé le requérant, les autorités estimèrent que celui-ci s</w:t>
      </w:r>
      <w:r w:rsidR="002152BB" w:rsidRPr="002152BB">
        <w:rPr>
          <w:lang w:val="fr-FR"/>
        </w:rPr>
        <w:t>’</w:t>
      </w:r>
      <w:r w:rsidR="00A819E0" w:rsidRPr="002152BB">
        <w:rPr>
          <w:lang w:val="fr-FR"/>
        </w:rPr>
        <w:t>était volontairement soustrait à la justice et, le 27 juillet 2001, elles le déclarèrent « en fuite » (</w:t>
      </w:r>
      <w:r w:rsidR="00A819E0" w:rsidRPr="002152BB">
        <w:rPr>
          <w:i/>
          <w:lang w:val="fr-FR"/>
        </w:rPr>
        <w:t>latitante)</w:t>
      </w:r>
      <w:r w:rsidR="00A819E0" w:rsidRPr="002152BB">
        <w:rPr>
          <w:lang w:val="fr-FR"/>
        </w:rPr>
        <w:t>.</w:t>
      </w:r>
    </w:p>
    <w:p w:rsidR="00310038" w:rsidRPr="002152BB" w:rsidRDefault="009C5CE8"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10</w:t>
      </w:r>
      <w:r w:rsidRPr="002152BB">
        <w:rPr>
          <w:lang w:val="fr-FR"/>
        </w:rPr>
        <w:fldChar w:fldCharType="end"/>
      </w:r>
      <w:r w:rsidRPr="002152BB">
        <w:rPr>
          <w:lang w:val="fr-FR"/>
        </w:rPr>
        <w:t>.  </w:t>
      </w:r>
      <w:r w:rsidR="00A819E0" w:rsidRPr="002152BB">
        <w:rPr>
          <w:lang w:val="fr-FR"/>
        </w:rPr>
        <w:t>N</w:t>
      </w:r>
      <w:r w:rsidR="002152BB" w:rsidRPr="002152BB">
        <w:rPr>
          <w:lang w:val="fr-FR"/>
        </w:rPr>
        <w:t>’</w:t>
      </w:r>
      <w:r w:rsidR="00A819E0" w:rsidRPr="002152BB">
        <w:rPr>
          <w:lang w:val="fr-FR"/>
        </w:rPr>
        <w:t>ayant pas réussi à notifier au requérant l</w:t>
      </w:r>
      <w:r w:rsidR="002152BB" w:rsidRPr="002152BB">
        <w:rPr>
          <w:lang w:val="fr-FR"/>
        </w:rPr>
        <w:t>’</w:t>
      </w:r>
      <w:r w:rsidR="00A819E0" w:rsidRPr="002152BB">
        <w:rPr>
          <w:lang w:val="fr-FR"/>
        </w:rPr>
        <w:t>invitation à désigner un défenseur de son choix, les autorités nommèrent un avocat d</w:t>
      </w:r>
      <w:r w:rsidR="002152BB" w:rsidRPr="002152BB">
        <w:rPr>
          <w:lang w:val="fr-FR"/>
        </w:rPr>
        <w:t>’</w:t>
      </w:r>
      <w:r w:rsidR="00A819E0" w:rsidRPr="002152BB">
        <w:rPr>
          <w:lang w:val="fr-FR"/>
        </w:rPr>
        <w:t>office, qui fut informé du renvoi en jugement de son client ainsi que de la date des débats devant la cour d</w:t>
      </w:r>
      <w:r w:rsidR="002152BB" w:rsidRPr="002152BB">
        <w:rPr>
          <w:lang w:val="fr-FR"/>
        </w:rPr>
        <w:t>’</w:t>
      </w:r>
      <w:r w:rsidR="00A819E0" w:rsidRPr="002152BB">
        <w:rPr>
          <w:lang w:val="fr-FR"/>
        </w:rPr>
        <w:t>assises de Rome. Le requérant était absent</w:t>
      </w:r>
      <w:r w:rsidR="003C5ADD" w:rsidRPr="002152BB">
        <w:rPr>
          <w:lang w:val="fr-FR"/>
        </w:rPr>
        <w:t xml:space="preserve"> et fut jugé par contumace</w:t>
      </w:r>
      <w:r w:rsidR="00A819E0" w:rsidRPr="002152BB">
        <w:rPr>
          <w:lang w:val="fr-FR"/>
        </w:rPr>
        <w:t>.</w:t>
      </w:r>
      <w:r w:rsidR="003C5ADD" w:rsidRPr="002152BB">
        <w:rPr>
          <w:lang w:val="fr-FR"/>
        </w:rPr>
        <w:t xml:space="preserve"> Ledit avocat participa aux débats. Les actes de procédure furent notifiés uniquement à ce dernier.</w:t>
      </w:r>
    </w:p>
    <w:p w:rsidR="00A819E0" w:rsidRPr="002152BB" w:rsidRDefault="009C5CE8"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11</w:t>
      </w:r>
      <w:r w:rsidRPr="002152BB">
        <w:rPr>
          <w:lang w:val="fr-FR"/>
        </w:rPr>
        <w:fldChar w:fldCharType="end"/>
      </w:r>
      <w:r w:rsidRPr="002152BB">
        <w:rPr>
          <w:lang w:val="fr-FR"/>
        </w:rPr>
        <w:t>.  </w:t>
      </w:r>
      <w:r w:rsidR="00A819E0" w:rsidRPr="002152BB">
        <w:rPr>
          <w:lang w:val="fr-FR"/>
        </w:rPr>
        <w:t>Par un arrêt du 15 mars 2004, la cour d</w:t>
      </w:r>
      <w:r w:rsidR="002152BB" w:rsidRPr="002152BB">
        <w:rPr>
          <w:lang w:val="fr-FR"/>
        </w:rPr>
        <w:t>’</w:t>
      </w:r>
      <w:r w:rsidR="00A819E0" w:rsidRPr="002152BB">
        <w:rPr>
          <w:lang w:val="fr-FR"/>
        </w:rPr>
        <w:t>assises de Rome reconnut le requérant coupable et le condamna à vingt-huit ans de réclusion.</w:t>
      </w:r>
    </w:p>
    <w:p w:rsidR="00A819E0" w:rsidRPr="002152BB" w:rsidRDefault="009C5CE8" w:rsidP="002152BB">
      <w:pPr>
        <w:pStyle w:val="ECHRPara"/>
        <w:rPr>
          <w:i/>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12</w:t>
      </w:r>
      <w:r w:rsidRPr="002152BB">
        <w:rPr>
          <w:lang w:val="fr-FR"/>
        </w:rPr>
        <w:fldChar w:fldCharType="end"/>
      </w:r>
      <w:r w:rsidRPr="002152BB">
        <w:rPr>
          <w:lang w:val="fr-FR"/>
        </w:rPr>
        <w:t>.  </w:t>
      </w:r>
      <w:r w:rsidR="00A819E0" w:rsidRPr="002152BB">
        <w:rPr>
          <w:lang w:val="fr-FR"/>
        </w:rPr>
        <w:t>L</w:t>
      </w:r>
      <w:r w:rsidR="002152BB" w:rsidRPr="002152BB">
        <w:rPr>
          <w:lang w:val="fr-FR"/>
        </w:rPr>
        <w:t>’</w:t>
      </w:r>
      <w:r w:rsidR="00A819E0" w:rsidRPr="002152BB">
        <w:rPr>
          <w:lang w:val="fr-FR"/>
        </w:rPr>
        <w:t>avocat commis d</w:t>
      </w:r>
      <w:r w:rsidR="002152BB" w:rsidRPr="002152BB">
        <w:rPr>
          <w:lang w:val="fr-FR"/>
        </w:rPr>
        <w:t>’</w:t>
      </w:r>
      <w:r w:rsidR="00A819E0" w:rsidRPr="002152BB">
        <w:rPr>
          <w:lang w:val="fr-FR"/>
        </w:rPr>
        <w:t>office fit appel de cet arrêt.</w:t>
      </w:r>
    </w:p>
    <w:p w:rsidR="00A819E0" w:rsidRPr="002152BB" w:rsidRDefault="009C5CE8" w:rsidP="002152BB">
      <w:pPr>
        <w:pStyle w:val="ECHRPara"/>
        <w:rPr>
          <w:i/>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13</w:t>
      </w:r>
      <w:r w:rsidRPr="002152BB">
        <w:rPr>
          <w:lang w:val="fr-FR"/>
        </w:rPr>
        <w:fldChar w:fldCharType="end"/>
      </w:r>
      <w:r w:rsidRPr="002152BB">
        <w:rPr>
          <w:lang w:val="fr-FR"/>
        </w:rPr>
        <w:t>.  </w:t>
      </w:r>
      <w:r w:rsidR="00A819E0" w:rsidRPr="002152BB">
        <w:rPr>
          <w:lang w:val="fr-FR"/>
        </w:rPr>
        <w:t>Le 13 octobre 2004, la police rédigea un nouveau procès-v</w:t>
      </w:r>
      <w:r w:rsidRPr="002152BB">
        <w:rPr>
          <w:lang w:val="fr-FR"/>
        </w:rPr>
        <w:t>erbal de « vaines recherches », à défaut d</w:t>
      </w:r>
      <w:r w:rsidR="002152BB" w:rsidRPr="002152BB">
        <w:rPr>
          <w:lang w:val="fr-FR"/>
        </w:rPr>
        <w:t>’</w:t>
      </w:r>
      <w:r w:rsidRPr="002152BB">
        <w:rPr>
          <w:lang w:val="fr-FR"/>
        </w:rPr>
        <w:t>avoir trouvé le requérant. L</w:t>
      </w:r>
      <w:r w:rsidR="002152BB" w:rsidRPr="002152BB">
        <w:rPr>
          <w:lang w:val="fr-FR"/>
        </w:rPr>
        <w:t>’</w:t>
      </w:r>
      <w:r w:rsidR="00094DBF" w:rsidRPr="002152BB">
        <w:rPr>
          <w:lang w:val="fr-FR"/>
        </w:rPr>
        <w:t>avocat</w:t>
      </w:r>
      <w:r w:rsidRPr="002152BB">
        <w:rPr>
          <w:lang w:val="fr-FR"/>
        </w:rPr>
        <w:t xml:space="preserve"> commis d</w:t>
      </w:r>
      <w:r w:rsidR="002152BB" w:rsidRPr="002152BB">
        <w:rPr>
          <w:lang w:val="fr-FR"/>
        </w:rPr>
        <w:t>’</w:t>
      </w:r>
      <w:r w:rsidRPr="002152BB">
        <w:rPr>
          <w:lang w:val="fr-FR"/>
        </w:rPr>
        <w:t>office participa à la procédure d</w:t>
      </w:r>
      <w:r w:rsidR="002152BB" w:rsidRPr="002152BB">
        <w:rPr>
          <w:lang w:val="fr-FR"/>
        </w:rPr>
        <w:t>’</w:t>
      </w:r>
      <w:r w:rsidRPr="002152BB">
        <w:rPr>
          <w:lang w:val="fr-FR"/>
        </w:rPr>
        <w:t>appel. Le requérant était absent</w:t>
      </w:r>
      <w:r w:rsidR="00EB5F70" w:rsidRPr="002152BB">
        <w:rPr>
          <w:lang w:val="fr-FR"/>
        </w:rPr>
        <w:t xml:space="preserve"> et fut jugé par contumace</w:t>
      </w:r>
      <w:r w:rsidRPr="002152BB">
        <w:rPr>
          <w:lang w:val="fr-FR"/>
        </w:rPr>
        <w:t>.</w:t>
      </w:r>
    </w:p>
    <w:p w:rsidR="00A819E0" w:rsidRPr="002152BB" w:rsidRDefault="009C5CE8"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14</w:t>
      </w:r>
      <w:r w:rsidRPr="002152BB">
        <w:rPr>
          <w:lang w:val="fr-FR"/>
        </w:rPr>
        <w:fldChar w:fldCharType="end"/>
      </w:r>
      <w:r w:rsidRPr="002152BB">
        <w:rPr>
          <w:lang w:val="fr-FR"/>
        </w:rPr>
        <w:t>.  </w:t>
      </w:r>
      <w:r w:rsidR="00A819E0" w:rsidRPr="002152BB">
        <w:rPr>
          <w:lang w:val="fr-FR"/>
        </w:rPr>
        <w:t>Par un arrêt du 17 janvier 2005, la cour d</w:t>
      </w:r>
      <w:r w:rsidR="002152BB" w:rsidRPr="002152BB">
        <w:rPr>
          <w:lang w:val="fr-FR"/>
        </w:rPr>
        <w:t>’</w:t>
      </w:r>
      <w:r w:rsidR="00A819E0" w:rsidRPr="002152BB">
        <w:rPr>
          <w:lang w:val="fr-FR"/>
        </w:rPr>
        <w:t>assises d</w:t>
      </w:r>
      <w:r w:rsidR="002152BB" w:rsidRPr="002152BB">
        <w:rPr>
          <w:lang w:val="fr-FR"/>
        </w:rPr>
        <w:t>’</w:t>
      </w:r>
      <w:r w:rsidR="00A819E0" w:rsidRPr="002152BB">
        <w:rPr>
          <w:lang w:val="fr-FR"/>
        </w:rPr>
        <w:t>appel de Rome rejeta l</w:t>
      </w:r>
      <w:r w:rsidR="002152BB" w:rsidRPr="002152BB">
        <w:rPr>
          <w:lang w:val="fr-FR"/>
        </w:rPr>
        <w:t>’</w:t>
      </w:r>
      <w:r w:rsidR="00A819E0" w:rsidRPr="002152BB">
        <w:rPr>
          <w:lang w:val="fr-FR"/>
        </w:rPr>
        <w:t>appel.</w:t>
      </w:r>
    </w:p>
    <w:p w:rsidR="00A819E0" w:rsidRPr="002152BB" w:rsidRDefault="009C5CE8"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15</w:t>
      </w:r>
      <w:r w:rsidRPr="002152BB">
        <w:rPr>
          <w:lang w:val="fr-FR"/>
        </w:rPr>
        <w:fldChar w:fldCharType="end"/>
      </w:r>
      <w:r w:rsidRPr="002152BB">
        <w:rPr>
          <w:lang w:val="fr-FR"/>
        </w:rPr>
        <w:t>.  </w:t>
      </w:r>
      <w:r w:rsidR="00A819E0" w:rsidRPr="002152BB">
        <w:rPr>
          <w:lang w:val="fr-FR"/>
        </w:rPr>
        <w:t>L</w:t>
      </w:r>
      <w:r w:rsidR="002152BB" w:rsidRPr="002152BB">
        <w:rPr>
          <w:lang w:val="fr-FR"/>
        </w:rPr>
        <w:t>’</w:t>
      </w:r>
      <w:r w:rsidR="00A819E0" w:rsidRPr="002152BB">
        <w:rPr>
          <w:lang w:val="fr-FR"/>
        </w:rPr>
        <w:t>avocat commis d</w:t>
      </w:r>
      <w:r w:rsidR="002152BB" w:rsidRPr="002152BB">
        <w:rPr>
          <w:lang w:val="fr-FR"/>
        </w:rPr>
        <w:t>’</w:t>
      </w:r>
      <w:r w:rsidR="00A819E0" w:rsidRPr="002152BB">
        <w:rPr>
          <w:lang w:val="fr-FR"/>
        </w:rPr>
        <w:t xml:space="preserve">office se </w:t>
      </w:r>
      <w:r w:rsidR="001928F1" w:rsidRPr="002152BB">
        <w:rPr>
          <w:lang w:val="fr-FR"/>
        </w:rPr>
        <w:t>pourvu</w:t>
      </w:r>
      <w:r w:rsidRPr="002152BB">
        <w:rPr>
          <w:lang w:val="fr-FR"/>
        </w:rPr>
        <w:t>t</w:t>
      </w:r>
      <w:r w:rsidR="00A819E0" w:rsidRPr="002152BB">
        <w:rPr>
          <w:lang w:val="fr-FR"/>
        </w:rPr>
        <w:t xml:space="preserve"> en cassation.</w:t>
      </w:r>
    </w:p>
    <w:p w:rsidR="00A819E0" w:rsidRPr="002152BB" w:rsidRDefault="00EB5F70"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16</w:t>
      </w:r>
      <w:r w:rsidRPr="002152BB">
        <w:rPr>
          <w:lang w:val="fr-FR"/>
        </w:rPr>
        <w:fldChar w:fldCharType="end"/>
      </w:r>
      <w:r w:rsidRPr="002152BB">
        <w:rPr>
          <w:lang w:val="fr-FR"/>
        </w:rPr>
        <w:t>.  </w:t>
      </w:r>
      <w:r w:rsidR="00A819E0" w:rsidRPr="002152BB">
        <w:rPr>
          <w:lang w:val="fr-FR"/>
        </w:rPr>
        <w:t>Par un arrêt du 22 juin 2005, la Cour</w:t>
      </w:r>
      <w:r w:rsidR="002471C5" w:rsidRPr="002152BB">
        <w:rPr>
          <w:lang w:val="fr-FR"/>
        </w:rPr>
        <w:t xml:space="preserve"> de cassation rejeta le recours </w:t>
      </w:r>
      <w:r w:rsidR="00A819E0" w:rsidRPr="002152BB">
        <w:rPr>
          <w:lang w:val="fr-FR"/>
        </w:rPr>
        <w:t>comme étant irrecevable, au motif que les griefs soulevés portaient pour l</w:t>
      </w:r>
      <w:r w:rsidR="002152BB" w:rsidRPr="002152BB">
        <w:rPr>
          <w:lang w:val="fr-FR"/>
        </w:rPr>
        <w:t>’</w:t>
      </w:r>
      <w:r w:rsidR="00A819E0" w:rsidRPr="002152BB">
        <w:rPr>
          <w:lang w:val="fr-FR"/>
        </w:rPr>
        <w:t>essentiel sur l</w:t>
      </w:r>
      <w:r w:rsidR="002152BB" w:rsidRPr="002152BB">
        <w:rPr>
          <w:lang w:val="fr-FR"/>
        </w:rPr>
        <w:t>’</w:t>
      </w:r>
      <w:r w:rsidR="00A819E0" w:rsidRPr="002152BB">
        <w:rPr>
          <w:lang w:val="fr-FR"/>
        </w:rPr>
        <w:t>appréciation des f</w:t>
      </w:r>
      <w:r w:rsidR="002471C5" w:rsidRPr="002152BB">
        <w:rPr>
          <w:lang w:val="fr-FR"/>
        </w:rPr>
        <w:t>aits et des éléments de preuve.</w:t>
      </w:r>
    </w:p>
    <w:p w:rsidR="00A819E0" w:rsidRPr="002152BB" w:rsidRDefault="009C5CE8"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17</w:t>
      </w:r>
      <w:r w:rsidRPr="002152BB">
        <w:rPr>
          <w:lang w:val="fr-FR"/>
        </w:rPr>
        <w:fldChar w:fldCharType="end"/>
      </w:r>
      <w:r w:rsidRPr="002152BB">
        <w:rPr>
          <w:lang w:val="fr-FR"/>
        </w:rPr>
        <w:t>.  </w:t>
      </w:r>
      <w:r w:rsidR="00A819E0" w:rsidRPr="002152BB">
        <w:rPr>
          <w:lang w:val="fr-FR"/>
        </w:rPr>
        <w:t>Le 23 juin 2005, le Procureur général de Rome ordonna l</w:t>
      </w:r>
      <w:r w:rsidR="002152BB" w:rsidRPr="002152BB">
        <w:rPr>
          <w:lang w:val="fr-FR"/>
        </w:rPr>
        <w:t>’</w:t>
      </w:r>
      <w:r w:rsidR="00A819E0" w:rsidRPr="002152BB">
        <w:rPr>
          <w:lang w:val="fr-FR"/>
        </w:rPr>
        <w:t>exécution de la peine. Un mandat d</w:t>
      </w:r>
      <w:r w:rsidR="002152BB" w:rsidRPr="002152BB">
        <w:rPr>
          <w:lang w:val="fr-FR"/>
        </w:rPr>
        <w:t>’</w:t>
      </w:r>
      <w:r w:rsidR="00A819E0" w:rsidRPr="002152BB">
        <w:rPr>
          <w:lang w:val="fr-FR"/>
        </w:rPr>
        <w:t>arrêt internat</w:t>
      </w:r>
      <w:r w:rsidR="00F903BA" w:rsidRPr="002152BB">
        <w:rPr>
          <w:lang w:val="fr-FR"/>
        </w:rPr>
        <w:t>ional fut délivré en date du 19 </w:t>
      </w:r>
      <w:r w:rsidR="00A819E0" w:rsidRPr="002152BB">
        <w:rPr>
          <w:lang w:val="fr-FR"/>
        </w:rPr>
        <w:t>décembre 2005.</w:t>
      </w:r>
    </w:p>
    <w:p w:rsidR="00A819E0" w:rsidRPr="002152BB" w:rsidRDefault="001928F1" w:rsidP="002152BB">
      <w:pPr>
        <w:pStyle w:val="ECHRHeading2"/>
        <w:outlineLvl w:val="0"/>
        <w:rPr>
          <w:lang w:val="fr-FR"/>
        </w:rPr>
      </w:pPr>
      <w:r w:rsidRPr="002152BB">
        <w:rPr>
          <w:lang w:val="fr-FR"/>
        </w:rPr>
        <w:t>B</w:t>
      </w:r>
      <w:r w:rsidR="00F903BA" w:rsidRPr="002152BB">
        <w:rPr>
          <w:lang w:val="fr-FR"/>
        </w:rPr>
        <w:t>.  </w:t>
      </w:r>
      <w:r w:rsidR="00A819E0" w:rsidRPr="002152BB">
        <w:rPr>
          <w:lang w:val="fr-FR"/>
        </w:rPr>
        <w:t>La procédure tendant à obtenir un nouveau procès</w:t>
      </w:r>
    </w:p>
    <w:p w:rsidR="00A819E0" w:rsidRPr="002152BB" w:rsidRDefault="000801CB"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18</w:t>
      </w:r>
      <w:r w:rsidRPr="002152BB">
        <w:rPr>
          <w:lang w:val="fr-FR"/>
        </w:rPr>
        <w:fldChar w:fldCharType="end"/>
      </w:r>
      <w:r w:rsidRPr="002152BB">
        <w:rPr>
          <w:lang w:val="fr-FR"/>
        </w:rPr>
        <w:t>.  </w:t>
      </w:r>
      <w:r w:rsidR="00A819E0" w:rsidRPr="002152BB">
        <w:rPr>
          <w:lang w:val="fr-FR"/>
        </w:rPr>
        <w:t>En octobre 2006, le requérant fut arrêté en Roumanie en exécution du mandat d</w:t>
      </w:r>
      <w:r w:rsidR="002152BB" w:rsidRPr="002152BB">
        <w:rPr>
          <w:lang w:val="fr-FR"/>
        </w:rPr>
        <w:t>’</w:t>
      </w:r>
      <w:r w:rsidR="00A819E0" w:rsidRPr="002152BB">
        <w:rPr>
          <w:lang w:val="fr-FR"/>
        </w:rPr>
        <w:t>arrêt international délivré par les autorités italiennes. Par la suite</w:t>
      </w:r>
      <w:r w:rsidRPr="002152BB">
        <w:rPr>
          <w:lang w:val="fr-FR"/>
        </w:rPr>
        <w:t xml:space="preserve">, </w:t>
      </w:r>
      <w:r w:rsidR="00652116" w:rsidRPr="002152BB">
        <w:rPr>
          <w:lang w:val="fr-FR"/>
        </w:rPr>
        <w:t xml:space="preserve">à une date non précisée, </w:t>
      </w:r>
      <w:r w:rsidR="00094DBF" w:rsidRPr="002152BB">
        <w:rPr>
          <w:lang w:val="fr-FR"/>
        </w:rPr>
        <w:t>il</w:t>
      </w:r>
      <w:r w:rsidR="00A819E0" w:rsidRPr="002152BB">
        <w:rPr>
          <w:lang w:val="fr-FR"/>
        </w:rPr>
        <w:t xml:space="preserve"> fut extradé en Italie.</w:t>
      </w:r>
    </w:p>
    <w:p w:rsidR="00310038" w:rsidRPr="002152BB" w:rsidRDefault="000801CB" w:rsidP="002152BB">
      <w:pPr>
        <w:pStyle w:val="ECHRPara"/>
        <w:rPr>
          <w:b/>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19</w:t>
      </w:r>
      <w:r w:rsidRPr="002152BB">
        <w:rPr>
          <w:lang w:val="fr-FR"/>
        </w:rPr>
        <w:fldChar w:fldCharType="end"/>
      </w:r>
      <w:r w:rsidRPr="002152BB">
        <w:rPr>
          <w:lang w:val="fr-FR"/>
        </w:rPr>
        <w:t>.  </w:t>
      </w:r>
      <w:r w:rsidR="00A819E0" w:rsidRPr="002152BB">
        <w:rPr>
          <w:lang w:val="fr-FR"/>
        </w:rPr>
        <w:t xml:space="preserve">Le 15 février 2007, le requérant déposa une demande en relèvement de forclusion pour recourir contre sa condamnation, </w:t>
      </w:r>
      <w:r w:rsidR="00094DBF" w:rsidRPr="002152BB">
        <w:rPr>
          <w:lang w:val="fr-FR"/>
        </w:rPr>
        <w:t>se prévalant de</w:t>
      </w:r>
      <w:r w:rsidR="00A819E0" w:rsidRPr="002152BB">
        <w:rPr>
          <w:lang w:val="fr-FR"/>
        </w:rPr>
        <w:t xml:space="preserve"> l</w:t>
      </w:r>
      <w:r w:rsidR="002152BB" w:rsidRPr="002152BB">
        <w:rPr>
          <w:lang w:val="fr-FR"/>
        </w:rPr>
        <w:t>’</w:t>
      </w:r>
      <w:r w:rsidR="002471C5" w:rsidRPr="002152BB">
        <w:rPr>
          <w:lang w:val="fr-FR"/>
        </w:rPr>
        <w:t>article </w:t>
      </w:r>
      <w:r w:rsidR="00A819E0" w:rsidRPr="002152BB">
        <w:rPr>
          <w:lang w:val="fr-FR"/>
        </w:rPr>
        <w:t>175 du code de procédure pénale. Il arguait qu</w:t>
      </w:r>
      <w:r w:rsidR="002152BB" w:rsidRPr="002152BB">
        <w:rPr>
          <w:lang w:val="fr-FR"/>
        </w:rPr>
        <w:t>’</w:t>
      </w:r>
      <w:r w:rsidR="00A819E0" w:rsidRPr="002152BB">
        <w:rPr>
          <w:lang w:val="fr-FR"/>
        </w:rPr>
        <w:t>il ne s</w:t>
      </w:r>
      <w:r w:rsidR="002152BB" w:rsidRPr="002152BB">
        <w:rPr>
          <w:lang w:val="fr-FR"/>
        </w:rPr>
        <w:t>’</w:t>
      </w:r>
      <w:r w:rsidR="00A819E0" w:rsidRPr="002152BB">
        <w:rPr>
          <w:lang w:val="fr-FR"/>
        </w:rPr>
        <w:t xml:space="preserve">était pas </w:t>
      </w:r>
      <w:r w:rsidR="00A819E0" w:rsidRPr="002152BB">
        <w:rPr>
          <w:lang w:val="fr-FR"/>
        </w:rPr>
        <w:lastRenderedPageBreak/>
        <w:t>soustrait volontairement à la justice et qu</w:t>
      </w:r>
      <w:r w:rsidR="002152BB" w:rsidRPr="002152BB">
        <w:rPr>
          <w:lang w:val="fr-FR"/>
        </w:rPr>
        <w:t>’</w:t>
      </w:r>
      <w:r w:rsidR="00A819E0" w:rsidRPr="002152BB">
        <w:rPr>
          <w:lang w:val="fr-FR"/>
        </w:rPr>
        <w:t>à défaut de notification des actes de procédure dans son lieu de résidence en Roumanie, il n</w:t>
      </w:r>
      <w:r w:rsidR="002152BB" w:rsidRPr="002152BB">
        <w:rPr>
          <w:lang w:val="fr-FR"/>
        </w:rPr>
        <w:t>’</w:t>
      </w:r>
      <w:r w:rsidR="00A819E0" w:rsidRPr="002152BB">
        <w:rPr>
          <w:lang w:val="fr-FR"/>
        </w:rPr>
        <w:t>avait pu prendre connaissance</w:t>
      </w:r>
      <w:r w:rsidR="003C5ADD" w:rsidRPr="002152BB">
        <w:rPr>
          <w:lang w:val="fr-FR"/>
        </w:rPr>
        <w:t xml:space="preserve"> </w:t>
      </w:r>
      <w:r w:rsidR="00B57499" w:rsidRPr="002152BB">
        <w:rPr>
          <w:lang w:val="fr-FR"/>
        </w:rPr>
        <w:t>effective</w:t>
      </w:r>
      <w:r w:rsidR="003C5ADD" w:rsidRPr="002152BB">
        <w:rPr>
          <w:lang w:val="fr-FR"/>
        </w:rPr>
        <w:t xml:space="preserve"> </w:t>
      </w:r>
      <w:r w:rsidR="00A819E0" w:rsidRPr="002152BB">
        <w:rPr>
          <w:lang w:val="fr-FR"/>
        </w:rPr>
        <w:t>de la procédure pénale diligentée à son encontre</w:t>
      </w:r>
      <w:r w:rsidR="00EB5F70" w:rsidRPr="002152BB">
        <w:rPr>
          <w:b/>
          <w:lang w:val="fr-FR"/>
        </w:rPr>
        <w:t xml:space="preserve"> </w:t>
      </w:r>
      <w:r w:rsidR="00EB5F70" w:rsidRPr="002152BB">
        <w:rPr>
          <w:lang w:val="fr-FR"/>
        </w:rPr>
        <w:t>qu</w:t>
      </w:r>
      <w:r w:rsidR="002152BB" w:rsidRPr="002152BB">
        <w:rPr>
          <w:lang w:val="fr-FR"/>
        </w:rPr>
        <w:t>’</w:t>
      </w:r>
      <w:r w:rsidR="00EB5F70" w:rsidRPr="002152BB">
        <w:rPr>
          <w:lang w:val="fr-FR"/>
        </w:rPr>
        <w:t>au moment de son arrestation</w:t>
      </w:r>
      <w:r w:rsidR="00EB5F70" w:rsidRPr="002152BB">
        <w:rPr>
          <w:b/>
          <w:lang w:val="fr-FR"/>
        </w:rPr>
        <w:t xml:space="preserve">. </w:t>
      </w:r>
      <w:r w:rsidR="00EB5F70" w:rsidRPr="002152BB">
        <w:rPr>
          <w:lang w:val="fr-FR"/>
        </w:rPr>
        <w:t>Il n</w:t>
      </w:r>
      <w:r w:rsidR="002152BB" w:rsidRPr="002152BB">
        <w:rPr>
          <w:lang w:val="fr-FR"/>
        </w:rPr>
        <w:t>’</w:t>
      </w:r>
      <w:r w:rsidR="00EB5F70" w:rsidRPr="002152BB">
        <w:rPr>
          <w:lang w:val="fr-FR"/>
        </w:rPr>
        <w:t xml:space="preserve">avait pas eu </w:t>
      </w:r>
      <w:r w:rsidR="003C5ADD" w:rsidRPr="002152BB">
        <w:rPr>
          <w:lang w:val="fr-FR"/>
        </w:rPr>
        <w:t xml:space="preserve">de contact avec </w:t>
      </w:r>
      <w:r w:rsidR="00094DBF" w:rsidRPr="002152BB">
        <w:rPr>
          <w:lang w:val="fr-FR"/>
        </w:rPr>
        <w:t>l</w:t>
      </w:r>
      <w:r w:rsidR="002152BB" w:rsidRPr="002152BB">
        <w:rPr>
          <w:lang w:val="fr-FR"/>
        </w:rPr>
        <w:t>’</w:t>
      </w:r>
      <w:r w:rsidR="003C5ADD" w:rsidRPr="002152BB">
        <w:rPr>
          <w:lang w:val="fr-FR"/>
        </w:rPr>
        <w:t>avocat commis d</w:t>
      </w:r>
      <w:r w:rsidR="002152BB" w:rsidRPr="002152BB">
        <w:rPr>
          <w:lang w:val="fr-FR"/>
        </w:rPr>
        <w:t>’</w:t>
      </w:r>
      <w:r w:rsidR="003C5ADD" w:rsidRPr="002152BB">
        <w:rPr>
          <w:lang w:val="fr-FR"/>
        </w:rPr>
        <w:t xml:space="preserve">office </w:t>
      </w:r>
      <w:r w:rsidR="00EB5F70" w:rsidRPr="002152BB">
        <w:rPr>
          <w:lang w:val="fr-FR"/>
        </w:rPr>
        <w:t xml:space="preserve">et </w:t>
      </w:r>
      <w:r w:rsidR="003C5ADD" w:rsidRPr="002152BB">
        <w:rPr>
          <w:lang w:val="fr-FR"/>
        </w:rPr>
        <w:t xml:space="preserve">jamais </w:t>
      </w:r>
      <w:r w:rsidR="00EB5F70" w:rsidRPr="002152BB">
        <w:rPr>
          <w:lang w:val="fr-FR"/>
        </w:rPr>
        <w:t>il n</w:t>
      </w:r>
      <w:r w:rsidR="002152BB" w:rsidRPr="002152BB">
        <w:rPr>
          <w:lang w:val="fr-FR"/>
        </w:rPr>
        <w:t>’</w:t>
      </w:r>
      <w:r w:rsidR="00EB5F70" w:rsidRPr="002152BB">
        <w:rPr>
          <w:lang w:val="fr-FR"/>
        </w:rPr>
        <w:t xml:space="preserve">avait </w:t>
      </w:r>
      <w:r w:rsidR="003C5ADD" w:rsidRPr="002152BB">
        <w:rPr>
          <w:lang w:val="fr-FR"/>
        </w:rPr>
        <w:t>renoncé à son droit à comparaître.</w:t>
      </w:r>
    </w:p>
    <w:p w:rsidR="000801CB" w:rsidRPr="002152BB" w:rsidRDefault="000801CB"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20</w:t>
      </w:r>
      <w:r w:rsidRPr="002152BB">
        <w:rPr>
          <w:lang w:val="fr-FR"/>
        </w:rPr>
        <w:fldChar w:fldCharType="end"/>
      </w:r>
      <w:r w:rsidRPr="002152BB">
        <w:rPr>
          <w:lang w:val="fr-FR"/>
        </w:rPr>
        <w:t>.  </w:t>
      </w:r>
      <w:r w:rsidR="00A819E0" w:rsidRPr="002152BB">
        <w:rPr>
          <w:lang w:val="fr-FR"/>
        </w:rPr>
        <w:t>Par une décision du 12 avril 2007, la cour d</w:t>
      </w:r>
      <w:r w:rsidR="002152BB" w:rsidRPr="002152BB">
        <w:rPr>
          <w:lang w:val="fr-FR"/>
        </w:rPr>
        <w:t>’</w:t>
      </w:r>
      <w:r w:rsidR="00A819E0" w:rsidRPr="002152BB">
        <w:rPr>
          <w:lang w:val="fr-FR"/>
        </w:rPr>
        <w:t>assises d</w:t>
      </w:r>
      <w:r w:rsidR="002152BB" w:rsidRPr="002152BB">
        <w:rPr>
          <w:lang w:val="fr-FR"/>
        </w:rPr>
        <w:t>’</w:t>
      </w:r>
      <w:r w:rsidR="00A819E0" w:rsidRPr="002152BB">
        <w:rPr>
          <w:lang w:val="fr-FR"/>
        </w:rPr>
        <w:t>appel de Rome reconnut que le requérant n</w:t>
      </w:r>
      <w:r w:rsidR="002152BB" w:rsidRPr="002152BB">
        <w:rPr>
          <w:lang w:val="fr-FR"/>
        </w:rPr>
        <w:t>’</w:t>
      </w:r>
      <w:r w:rsidR="00A819E0" w:rsidRPr="002152BB">
        <w:rPr>
          <w:lang w:val="fr-FR"/>
        </w:rPr>
        <w:t>avait pas eu connaissance effective (</w:t>
      </w:r>
      <w:r w:rsidR="00A819E0" w:rsidRPr="002152BB">
        <w:rPr>
          <w:i/>
          <w:lang w:val="fr-FR"/>
        </w:rPr>
        <w:t>effettiva</w:t>
      </w:r>
      <w:r w:rsidR="00A819E0" w:rsidRPr="002152BB">
        <w:rPr>
          <w:lang w:val="fr-FR"/>
        </w:rPr>
        <w:t>) de la procédure ; dès lors il ne pouvait pas être considéré comme s</w:t>
      </w:r>
      <w:r w:rsidR="002152BB" w:rsidRPr="002152BB">
        <w:rPr>
          <w:lang w:val="fr-FR"/>
        </w:rPr>
        <w:t>’</w:t>
      </w:r>
      <w:r w:rsidR="00A819E0" w:rsidRPr="002152BB">
        <w:rPr>
          <w:lang w:val="fr-FR"/>
        </w:rPr>
        <w:t xml:space="preserve">étant soustrait à la justice et </w:t>
      </w:r>
      <w:r w:rsidR="00011353" w:rsidRPr="002152BB">
        <w:rPr>
          <w:lang w:val="fr-FR"/>
        </w:rPr>
        <w:t>comme ayant</w:t>
      </w:r>
      <w:r w:rsidR="00A819E0" w:rsidRPr="002152BB">
        <w:rPr>
          <w:lang w:val="fr-FR"/>
        </w:rPr>
        <w:t xml:space="preserve"> renoncé à assister au procès. Par conséquent, le requérant avait droit au relèvement de la forclusion. Toutefois, il lui était loisible de faire un recours uniquement contre la décision de deuxième instance, car le seul degré que l</w:t>
      </w:r>
      <w:r w:rsidR="002152BB" w:rsidRPr="002152BB">
        <w:rPr>
          <w:lang w:val="fr-FR"/>
        </w:rPr>
        <w:t>’</w:t>
      </w:r>
      <w:r w:rsidR="00A819E0" w:rsidRPr="002152BB">
        <w:rPr>
          <w:lang w:val="fr-FR"/>
        </w:rPr>
        <w:t>avocat commis d</w:t>
      </w:r>
      <w:r w:rsidR="002152BB" w:rsidRPr="002152BB">
        <w:rPr>
          <w:lang w:val="fr-FR"/>
        </w:rPr>
        <w:t>’</w:t>
      </w:r>
      <w:r w:rsidR="00A819E0" w:rsidRPr="002152BB">
        <w:rPr>
          <w:lang w:val="fr-FR"/>
        </w:rPr>
        <w:t>office n</w:t>
      </w:r>
      <w:r w:rsidR="002152BB" w:rsidRPr="002152BB">
        <w:rPr>
          <w:lang w:val="fr-FR"/>
        </w:rPr>
        <w:t>’</w:t>
      </w:r>
      <w:r w:rsidR="00A819E0" w:rsidRPr="002152BB">
        <w:rPr>
          <w:lang w:val="fr-FR"/>
        </w:rPr>
        <w:t>avait pas utili</w:t>
      </w:r>
      <w:r w:rsidR="002471C5" w:rsidRPr="002152BB">
        <w:rPr>
          <w:lang w:val="fr-FR"/>
        </w:rPr>
        <w:t>sé était le degré de cassation.</w:t>
      </w:r>
    </w:p>
    <w:p w:rsidR="00A819E0" w:rsidRPr="002152BB" w:rsidRDefault="00A819E0" w:rsidP="002152BB">
      <w:pPr>
        <w:pStyle w:val="ECHRPara"/>
        <w:rPr>
          <w:lang w:val="fr-FR"/>
        </w:rPr>
      </w:pPr>
      <w:r w:rsidRPr="002152BB">
        <w:rPr>
          <w:lang w:val="fr-FR"/>
        </w:rPr>
        <w:t>Par ailleurs, la cour d</w:t>
      </w:r>
      <w:r w:rsidR="002152BB" w:rsidRPr="002152BB">
        <w:rPr>
          <w:lang w:val="fr-FR"/>
        </w:rPr>
        <w:t>’</w:t>
      </w:r>
      <w:r w:rsidRPr="002152BB">
        <w:rPr>
          <w:lang w:val="fr-FR"/>
        </w:rPr>
        <w:t>assises d</w:t>
      </w:r>
      <w:r w:rsidR="002152BB" w:rsidRPr="002152BB">
        <w:rPr>
          <w:lang w:val="fr-FR"/>
        </w:rPr>
        <w:t>’</w:t>
      </w:r>
      <w:r w:rsidRPr="002152BB">
        <w:rPr>
          <w:lang w:val="fr-FR"/>
        </w:rPr>
        <w:t>appel ordonna la</w:t>
      </w:r>
      <w:r w:rsidR="00011353" w:rsidRPr="002152BB">
        <w:rPr>
          <w:lang w:val="fr-FR"/>
        </w:rPr>
        <w:t xml:space="preserve"> remise en liberté du requérant.</w:t>
      </w:r>
    </w:p>
    <w:p w:rsidR="00A819E0" w:rsidRPr="002152BB" w:rsidRDefault="000801CB"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21</w:t>
      </w:r>
      <w:r w:rsidRPr="002152BB">
        <w:rPr>
          <w:lang w:val="fr-FR"/>
        </w:rPr>
        <w:fldChar w:fldCharType="end"/>
      </w:r>
      <w:r w:rsidRPr="002152BB">
        <w:rPr>
          <w:lang w:val="fr-FR"/>
        </w:rPr>
        <w:t>.  </w:t>
      </w:r>
      <w:r w:rsidR="00A819E0" w:rsidRPr="002152BB">
        <w:rPr>
          <w:lang w:val="fr-FR"/>
        </w:rPr>
        <w:t>Le requérant se pourvut en cassation. Se référant à la jurisprudence relative à l</w:t>
      </w:r>
      <w:r w:rsidR="002152BB" w:rsidRPr="002152BB">
        <w:rPr>
          <w:lang w:val="fr-FR"/>
        </w:rPr>
        <w:t>’</w:t>
      </w:r>
      <w:r w:rsidR="00A819E0" w:rsidRPr="002152BB">
        <w:rPr>
          <w:lang w:val="fr-FR"/>
        </w:rPr>
        <w:t xml:space="preserve">article 6 de la Convention, il </w:t>
      </w:r>
      <w:r w:rsidRPr="002152BB">
        <w:rPr>
          <w:lang w:val="fr-FR"/>
        </w:rPr>
        <w:t>allégua</w:t>
      </w:r>
      <w:r w:rsidR="00A819E0" w:rsidRPr="002152BB">
        <w:rPr>
          <w:lang w:val="fr-FR"/>
        </w:rPr>
        <w:t xml:space="preserve"> avoir droit à un procès sur le fond et non pas seulement à un pourvoi en cassation. D</w:t>
      </w:r>
      <w:r w:rsidR="002152BB" w:rsidRPr="002152BB">
        <w:rPr>
          <w:lang w:val="fr-FR"/>
        </w:rPr>
        <w:t>’</w:t>
      </w:r>
      <w:r w:rsidR="00A819E0" w:rsidRPr="002152BB">
        <w:rPr>
          <w:lang w:val="fr-FR"/>
        </w:rPr>
        <w:t xml:space="preserve">ailleurs, vu que la déclaration du 27 juillet 2001 le considérant en fuite était sans effet, toute la procédure litigieuse </w:t>
      </w:r>
      <w:r w:rsidR="00094DBF" w:rsidRPr="002152BB">
        <w:rPr>
          <w:lang w:val="fr-FR"/>
        </w:rPr>
        <w:t xml:space="preserve">ultérieure </w:t>
      </w:r>
      <w:r w:rsidR="00A819E0" w:rsidRPr="002152BB">
        <w:rPr>
          <w:lang w:val="fr-FR"/>
        </w:rPr>
        <w:t>était nulle, y compris la décision rendue en appel.</w:t>
      </w:r>
    </w:p>
    <w:p w:rsidR="00A819E0" w:rsidRPr="002152BB" w:rsidRDefault="000801CB"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22</w:t>
      </w:r>
      <w:r w:rsidRPr="002152BB">
        <w:rPr>
          <w:lang w:val="fr-FR"/>
        </w:rPr>
        <w:fldChar w:fldCharType="end"/>
      </w:r>
      <w:r w:rsidRPr="002152BB">
        <w:rPr>
          <w:lang w:val="fr-FR"/>
        </w:rPr>
        <w:t>.  </w:t>
      </w:r>
      <w:r w:rsidR="00A819E0" w:rsidRPr="002152BB">
        <w:rPr>
          <w:lang w:val="fr-FR"/>
        </w:rPr>
        <w:t>Par un arrêt du 13 janvier 2008, déposé au greffe le 7 février 2008, les sections réunies de la Cour de cassation précisèrent qu</w:t>
      </w:r>
      <w:r w:rsidR="002152BB" w:rsidRPr="002152BB">
        <w:rPr>
          <w:lang w:val="fr-FR"/>
        </w:rPr>
        <w:t>’</w:t>
      </w:r>
      <w:r w:rsidR="00A819E0" w:rsidRPr="002152BB">
        <w:rPr>
          <w:lang w:val="fr-FR"/>
        </w:rPr>
        <w:t>un condamné par contumace perdait son droit à la réouverture du délai d</w:t>
      </w:r>
      <w:r w:rsidR="002152BB" w:rsidRPr="002152BB">
        <w:rPr>
          <w:lang w:val="fr-FR"/>
        </w:rPr>
        <w:t>’</w:t>
      </w:r>
      <w:r w:rsidR="00A819E0" w:rsidRPr="002152BB">
        <w:rPr>
          <w:lang w:val="fr-FR"/>
        </w:rPr>
        <w:t>appel si le défenseur de son choix ou l</w:t>
      </w:r>
      <w:r w:rsidR="002152BB" w:rsidRPr="002152BB">
        <w:rPr>
          <w:lang w:val="fr-FR"/>
        </w:rPr>
        <w:t>’</w:t>
      </w:r>
      <w:r w:rsidR="00A819E0" w:rsidRPr="002152BB">
        <w:rPr>
          <w:lang w:val="fr-FR"/>
        </w:rPr>
        <w:t>avocat commis d</w:t>
      </w:r>
      <w:r w:rsidR="002152BB" w:rsidRPr="002152BB">
        <w:rPr>
          <w:lang w:val="fr-FR"/>
        </w:rPr>
        <w:t>’</w:t>
      </w:r>
      <w:r w:rsidR="00A819E0" w:rsidRPr="002152BB">
        <w:rPr>
          <w:lang w:val="fr-FR"/>
        </w:rPr>
        <w:t>office avaient, de manière autonome</w:t>
      </w:r>
      <w:r w:rsidR="00094DBF" w:rsidRPr="002152BB">
        <w:rPr>
          <w:lang w:val="fr-FR"/>
        </w:rPr>
        <w:t xml:space="preserve">, voire </w:t>
      </w:r>
      <w:r w:rsidR="00A819E0" w:rsidRPr="002152BB">
        <w:rPr>
          <w:lang w:val="fr-FR"/>
        </w:rPr>
        <w:t>à l</w:t>
      </w:r>
      <w:r w:rsidR="002152BB" w:rsidRPr="002152BB">
        <w:rPr>
          <w:lang w:val="fr-FR"/>
        </w:rPr>
        <w:t>’</w:t>
      </w:r>
      <w:r w:rsidR="00A819E0" w:rsidRPr="002152BB">
        <w:rPr>
          <w:lang w:val="fr-FR"/>
        </w:rPr>
        <w:t>insu de leur client, attaqué la décision litigieuse et si la juridiction interne compétente avait tranché sur leur recours. Les sections réunies invoquèrent les principes de l</w:t>
      </w:r>
      <w:r w:rsidR="002152BB" w:rsidRPr="002152BB">
        <w:rPr>
          <w:lang w:val="fr-FR"/>
        </w:rPr>
        <w:t>’</w:t>
      </w:r>
      <w:r w:rsidR="00A819E0" w:rsidRPr="002152BB">
        <w:rPr>
          <w:lang w:val="fr-FR"/>
        </w:rPr>
        <w:t>unicité du droit d</w:t>
      </w:r>
      <w:r w:rsidR="002152BB" w:rsidRPr="002152BB">
        <w:rPr>
          <w:lang w:val="fr-FR"/>
        </w:rPr>
        <w:t>’</w:t>
      </w:r>
      <w:r w:rsidR="00A819E0" w:rsidRPr="002152BB">
        <w:rPr>
          <w:lang w:val="fr-FR"/>
        </w:rPr>
        <w:t xml:space="preserve">attaquer un jugement et du </w:t>
      </w:r>
      <w:r w:rsidR="00A819E0" w:rsidRPr="002152BB">
        <w:rPr>
          <w:i/>
          <w:lang w:val="fr-FR"/>
        </w:rPr>
        <w:t>ne bis in idem</w:t>
      </w:r>
      <w:r w:rsidR="00A819E0" w:rsidRPr="002152BB">
        <w:rPr>
          <w:lang w:val="fr-FR"/>
        </w:rPr>
        <w:t> ; elles soulignèrent également que la possibilité d</w:t>
      </w:r>
      <w:r w:rsidR="002152BB" w:rsidRPr="002152BB">
        <w:rPr>
          <w:lang w:val="fr-FR"/>
        </w:rPr>
        <w:t>’</w:t>
      </w:r>
      <w:r w:rsidR="00A819E0" w:rsidRPr="002152BB">
        <w:rPr>
          <w:lang w:val="fr-FR"/>
        </w:rPr>
        <w:t>un double appel (l</w:t>
      </w:r>
      <w:r w:rsidR="002152BB" w:rsidRPr="002152BB">
        <w:rPr>
          <w:lang w:val="fr-FR"/>
        </w:rPr>
        <w:t>’</w:t>
      </w:r>
      <w:r w:rsidR="00A819E0" w:rsidRPr="002152BB">
        <w:rPr>
          <w:lang w:val="fr-FR"/>
        </w:rPr>
        <w:t>un interjeté par le défenseur, l</w:t>
      </w:r>
      <w:r w:rsidR="002152BB" w:rsidRPr="002152BB">
        <w:rPr>
          <w:lang w:val="fr-FR"/>
        </w:rPr>
        <w:t>’</w:t>
      </w:r>
      <w:r w:rsidR="00A819E0" w:rsidRPr="002152BB">
        <w:rPr>
          <w:lang w:val="fr-FR"/>
        </w:rPr>
        <w:t>autre par l</w:t>
      </w:r>
      <w:r w:rsidR="002152BB" w:rsidRPr="002152BB">
        <w:rPr>
          <w:lang w:val="fr-FR"/>
        </w:rPr>
        <w:t>’</w:t>
      </w:r>
      <w:r w:rsidR="00A819E0" w:rsidRPr="002152BB">
        <w:rPr>
          <w:lang w:val="fr-FR"/>
        </w:rPr>
        <w:t>accusé) se heurtait à l</w:t>
      </w:r>
      <w:r w:rsidR="002152BB" w:rsidRPr="002152BB">
        <w:rPr>
          <w:lang w:val="fr-FR"/>
        </w:rPr>
        <w:t>’</w:t>
      </w:r>
      <w:r w:rsidR="00A819E0" w:rsidRPr="002152BB">
        <w:rPr>
          <w:lang w:val="fr-FR"/>
        </w:rPr>
        <w:t>exigence du respect du «délai raisonnable » lorsque l</w:t>
      </w:r>
      <w:r w:rsidR="002152BB" w:rsidRPr="002152BB">
        <w:rPr>
          <w:lang w:val="fr-FR"/>
        </w:rPr>
        <w:t>’</w:t>
      </w:r>
      <w:r w:rsidR="00A819E0" w:rsidRPr="002152BB">
        <w:rPr>
          <w:lang w:val="fr-FR"/>
        </w:rPr>
        <w:t>accusé contumace, qui n</w:t>
      </w:r>
      <w:r w:rsidR="002152BB" w:rsidRPr="002152BB">
        <w:rPr>
          <w:lang w:val="fr-FR"/>
        </w:rPr>
        <w:t>’</w:t>
      </w:r>
      <w:r w:rsidR="00A819E0" w:rsidRPr="002152BB">
        <w:rPr>
          <w:lang w:val="fr-FR"/>
        </w:rPr>
        <w:t>a pas eu connaissance du procès, a été représenté par un avocat ; si ce dernier a utilisé les recours existant pour attaquer la décision de condamnation, il n</w:t>
      </w:r>
      <w:r w:rsidR="002152BB" w:rsidRPr="002152BB">
        <w:rPr>
          <w:lang w:val="fr-FR"/>
        </w:rPr>
        <w:t>’</w:t>
      </w:r>
      <w:r w:rsidR="00A819E0" w:rsidRPr="002152BB">
        <w:rPr>
          <w:lang w:val="fr-FR"/>
        </w:rPr>
        <w:t>est plus possible pour l</w:t>
      </w:r>
      <w:r w:rsidR="002152BB" w:rsidRPr="002152BB">
        <w:rPr>
          <w:lang w:val="fr-FR"/>
        </w:rPr>
        <w:t>’</w:t>
      </w:r>
      <w:r w:rsidR="00A819E0" w:rsidRPr="002152BB">
        <w:rPr>
          <w:lang w:val="fr-FR"/>
        </w:rPr>
        <w:t>intéressé de s</w:t>
      </w:r>
      <w:r w:rsidR="002152BB" w:rsidRPr="002152BB">
        <w:rPr>
          <w:lang w:val="fr-FR"/>
        </w:rPr>
        <w:t>’</w:t>
      </w:r>
      <w:r w:rsidR="00A819E0" w:rsidRPr="002152BB">
        <w:rPr>
          <w:lang w:val="fr-FR"/>
        </w:rPr>
        <w:t>en prévaloir après découverte de sa condamnation. Par conséquent, le requér</w:t>
      </w:r>
      <w:r w:rsidR="002471C5" w:rsidRPr="002152BB">
        <w:rPr>
          <w:lang w:val="fr-FR"/>
        </w:rPr>
        <w:t>ant fut débouté de son pourvoi.</w:t>
      </w:r>
    </w:p>
    <w:p w:rsidR="00310038" w:rsidRPr="002152BB" w:rsidRDefault="000801CB"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23</w:t>
      </w:r>
      <w:r w:rsidRPr="002152BB">
        <w:rPr>
          <w:lang w:val="fr-FR"/>
        </w:rPr>
        <w:fldChar w:fldCharType="end"/>
      </w:r>
      <w:r w:rsidRPr="002152BB">
        <w:rPr>
          <w:lang w:val="fr-FR"/>
        </w:rPr>
        <w:t>.  </w:t>
      </w:r>
      <w:r w:rsidR="00A819E0" w:rsidRPr="002152BB">
        <w:rPr>
          <w:lang w:val="fr-FR"/>
        </w:rPr>
        <w:t>La même question de principe fut soumise à la Cour constitutionnelle dans le cadre d</w:t>
      </w:r>
      <w:r w:rsidR="002152BB" w:rsidRPr="002152BB">
        <w:rPr>
          <w:lang w:val="fr-FR"/>
        </w:rPr>
        <w:t>’</w:t>
      </w:r>
      <w:r w:rsidR="00A819E0" w:rsidRPr="002152BB">
        <w:rPr>
          <w:lang w:val="fr-FR"/>
        </w:rPr>
        <w:t>une procédure s</w:t>
      </w:r>
      <w:r w:rsidR="002152BB" w:rsidRPr="002152BB">
        <w:rPr>
          <w:lang w:val="fr-FR"/>
        </w:rPr>
        <w:t>’</w:t>
      </w:r>
      <w:r w:rsidR="00A819E0" w:rsidRPr="002152BB">
        <w:rPr>
          <w:lang w:val="fr-FR"/>
        </w:rPr>
        <w:t>étant déroulée par contumace à l</w:t>
      </w:r>
      <w:r w:rsidR="002152BB" w:rsidRPr="002152BB">
        <w:rPr>
          <w:lang w:val="fr-FR"/>
        </w:rPr>
        <w:t>’</w:t>
      </w:r>
      <w:r w:rsidR="00A819E0" w:rsidRPr="002152BB">
        <w:rPr>
          <w:lang w:val="fr-FR"/>
        </w:rPr>
        <w:t>encontre d</w:t>
      </w:r>
      <w:r w:rsidR="002152BB" w:rsidRPr="002152BB">
        <w:rPr>
          <w:lang w:val="fr-FR"/>
        </w:rPr>
        <w:t>’</w:t>
      </w:r>
      <w:r w:rsidR="00A819E0" w:rsidRPr="002152BB">
        <w:rPr>
          <w:lang w:val="fr-FR"/>
        </w:rPr>
        <w:t>un autre condamné. Par l</w:t>
      </w:r>
      <w:r w:rsidR="002152BB" w:rsidRPr="002152BB">
        <w:rPr>
          <w:lang w:val="fr-FR"/>
        </w:rPr>
        <w:t>’</w:t>
      </w:r>
      <w:r w:rsidR="00A819E0" w:rsidRPr="002152BB">
        <w:rPr>
          <w:lang w:val="fr-FR"/>
        </w:rPr>
        <w:t>arrêt n</w:t>
      </w:r>
      <w:r w:rsidR="00FC42A7" w:rsidRPr="002152BB">
        <w:rPr>
          <w:vertAlign w:val="superscript"/>
          <w:lang w:val="fr-FR"/>
        </w:rPr>
        <w:t>o</w:t>
      </w:r>
      <w:r w:rsidR="002471C5" w:rsidRPr="002152BB">
        <w:rPr>
          <w:lang w:val="fr-FR"/>
        </w:rPr>
        <w:t xml:space="preserve"> 317 du 4 </w:t>
      </w:r>
      <w:r w:rsidR="00A819E0" w:rsidRPr="002152BB">
        <w:rPr>
          <w:lang w:val="fr-FR"/>
        </w:rPr>
        <w:t>décembre 2009, la Cour constitutionnelle déclara l</w:t>
      </w:r>
      <w:r w:rsidR="002152BB" w:rsidRPr="002152BB">
        <w:rPr>
          <w:lang w:val="fr-FR"/>
        </w:rPr>
        <w:t>’</w:t>
      </w:r>
      <w:r w:rsidR="00A819E0" w:rsidRPr="002152BB">
        <w:rPr>
          <w:lang w:val="fr-FR"/>
        </w:rPr>
        <w:t>article 175 § 2 du code de procédure pénal</w:t>
      </w:r>
      <w:r w:rsidR="00EB5F70" w:rsidRPr="002152BB">
        <w:rPr>
          <w:lang w:val="fr-FR"/>
        </w:rPr>
        <w:t>e</w:t>
      </w:r>
      <w:r w:rsidR="00A819E0" w:rsidRPr="002152BB">
        <w:rPr>
          <w:lang w:val="fr-FR"/>
        </w:rPr>
        <w:t xml:space="preserve"> contraire à la Constitution, dans la mesure où cette disposition ne permettait pas à l</w:t>
      </w:r>
      <w:r w:rsidR="002152BB" w:rsidRPr="002152BB">
        <w:rPr>
          <w:lang w:val="fr-FR"/>
        </w:rPr>
        <w:t>’</w:t>
      </w:r>
      <w:r w:rsidR="00A819E0" w:rsidRPr="002152BB">
        <w:rPr>
          <w:lang w:val="fr-FR"/>
        </w:rPr>
        <w:t>accusé n</w:t>
      </w:r>
      <w:r w:rsidR="002152BB" w:rsidRPr="002152BB">
        <w:rPr>
          <w:lang w:val="fr-FR"/>
        </w:rPr>
        <w:t>’</w:t>
      </w:r>
      <w:r w:rsidR="00A819E0" w:rsidRPr="002152BB">
        <w:rPr>
          <w:lang w:val="fr-FR"/>
        </w:rPr>
        <w:t xml:space="preserve">ayant pas eu connaissance effective de la procédure de rouvrir le délai pour faire recours contre la </w:t>
      </w:r>
      <w:r w:rsidR="00A819E0" w:rsidRPr="002152BB">
        <w:rPr>
          <w:lang w:val="fr-FR"/>
        </w:rPr>
        <w:lastRenderedPageBreak/>
        <w:t xml:space="preserve">décision rendue par contumace lorsque ce même recours avait été </w:t>
      </w:r>
      <w:r w:rsidR="00094DBF" w:rsidRPr="002152BB">
        <w:rPr>
          <w:lang w:val="fr-FR"/>
        </w:rPr>
        <w:t>interjeté</w:t>
      </w:r>
      <w:r w:rsidR="00A819E0" w:rsidRPr="002152BB">
        <w:rPr>
          <w:lang w:val="fr-FR"/>
        </w:rPr>
        <w:t xml:space="preserve"> auparavant par l</w:t>
      </w:r>
      <w:r w:rsidR="002152BB" w:rsidRPr="002152BB">
        <w:rPr>
          <w:lang w:val="fr-FR"/>
        </w:rPr>
        <w:t>’</w:t>
      </w:r>
      <w:r w:rsidR="00A819E0" w:rsidRPr="002152BB">
        <w:rPr>
          <w:lang w:val="fr-FR"/>
        </w:rPr>
        <w:t>avocat</w:t>
      </w:r>
      <w:r w:rsidR="00094DBF" w:rsidRPr="002152BB">
        <w:rPr>
          <w:lang w:val="fr-FR"/>
        </w:rPr>
        <w:t xml:space="preserve"> (voir paragraphe 31 ci-dessous)</w:t>
      </w:r>
      <w:r w:rsidR="00A819E0" w:rsidRPr="002152BB">
        <w:rPr>
          <w:lang w:val="fr-FR"/>
        </w:rPr>
        <w:t>.</w:t>
      </w:r>
    </w:p>
    <w:p w:rsidR="00023992" w:rsidRPr="002152BB" w:rsidRDefault="000801CB"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24</w:t>
      </w:r>
      <w:r w:rsidRPr="002152BB">
        <w:rPr>
          <w:lang w:val="fr-FR"/>
        </w:rPr>
        <w:fldChar w:fldCharType="end"/>
      </w:r>
      <w:r w:rsidRPr="002152BB">
        <w:rPr>
          <w:lang w:val="fr-FR"/>
        </w:rPr>
        <w:t>.  </w:t>
      </w:r>
      <w:r w:rsidR="00A819E0" w:rsidRPr="002152BB">
        <w:rPr>
          <w:lang w:val="fr-FR"/>
        </w:rPr>
        <w:t>S</w:t>
      </w:r>
      <w:r w:rsidR="002152BB" w:rsidRPr="002152BB">
        <w:rPr>
          <w:lang w:val="fr-FR"/>
        </w:rPr>
        <w:t>’</w:t>
      </w:r>
      <w:r w:rsidR="00A819E0" w:rsidRPr="002152BB">
        <w:rPr>
          <w:lang w:val="fr-FR"/>
        </w:rPr>
        <w:t xml:space="preserve">appuyant sur ledit arrêt de la Cour </w:t>
      </w:r>
      <w:r w:rsidR="00F903BA" w:rsidRPr="002152BB">
        <w:rPr>
          <w:lang w:val="fr-FR"/>
        </w:rPr>
        <w:t>constitutionnelle, le 14 </w:t>
      </w:r>
      <w:r w:rsidR="00A819E0" w:rsidRPr="002152BB">
        <w:rPr>
          <w:lang w:val="fr-FR"/>
        </w:rPr>
        <w:t>décembre 2009</w:t>
      </w:r>
      <w:r w:rsidR="00EB5F70" w:rsidRPr="002152BB">
        <w:rPr>
          <w:lang w:val="fr-FR"/>
        </w:rPr>
        <w:t>, le requérant déposa une demande de relèvement en forclusion</w:t>
      </w:r>
      <w:r w:rsidR="00023992" w:rsidRPr="002152BB">
        <w:rPr>
          <w:lang w:val="fr-FR"/>
        </w:rPr>
        <w:t>.</w:t>
      </w:r>
    </w:p>
    <w:p w:rsidR="00310038" w:rsidRPr="002152BB" w:rsidRDefault="0069372A"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25</w:t>
      </w:r>
      <w:r w:rsidRPr="002152BB">
        <w:rPr>
          <w:lang w:val="fr-FR"/>
        </w:rPr>
        <w:fldChar w:fldCharType="end"/>
      </w:r>
      <w:r w:rsidRPr="002152BB">
        <w:rPr>
          <w:lang w:val="fr-FR"/>
        </w:rPr>
        <w:t>.  Cette demande</w:t>
      </w:r>
      <w:r w:rsidR="00A819E0" w:rsidRPr="002152BB">
        <w:rPr>
          <w:lang w:val="fr-FR"/>
        </w:rPr>
        <w:t xml:space="preserve"> fut rejetée le 11 février 2010 par la cour d</w:t>
      </w:r>
      <w:r w:rsidR="002152BB" w:rsidRPr="002152BB">
        <w:rPr>
          <w:lang w:val="fr-FR"/>
        </w:rPr>
        <w:t>’</w:t>
      </w:r>
      <w:r w:rsidR="00A819E0" w:rsidRPr="002152BB">
        <w:rPr>
          <w:lang w:val="fr-FR"/>
        </w:rPr>
        <w:t>assises de Rome, au motif que le requérant avait pris connaissance de sa condamnation le 25 janvier 2007, que le délai de trente jours avait expiré et que le requérant lui-même aurait pu soulever un grief tiré de l</w:t>
      </w:r>
      <w:r w:rsidR="002152BB" w:rsidRPr="002152BB">
        <w:rPr>
          <w:lang w:val="fr-FR"/>
        </w:rPr>
        <w:t>’</w:t>
      </w:r>
      <w:r w:rsidR="00A819E0" w:rsidRPr="002152BB">
        <w:rPr>
          <w:lang w:val="fr-FR"/>
        </w:rPr>
        <w:t>inconstitutionnalité de la disposition litigieuse.</w:t>
      </w:r>
    </w:p>
    <w:p w:rsidR="00A819E0" w:rsidRPr="002152BB" w:rsidRDefault="000801CB"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26</w:t>
      </w:r>
      <w:r w:rsidRPr="002152BB">
        <w:rPr>
          <w:lang w:val="fr-FR"/>
        </w:rPr>
        <w:fldChar w:fldCharType="end"/>
      </w:r>
      <w:r w:rsidRPr="002152BB">
        <w:rPr>
          <w:lang w:val="fr-FR"/>
        </w:rPr>
        <w:t>.  </w:t>
      </w:r>
      <w:r w:rsidR="00A819E0" w:rsidRPr="002152BB">
        <w:rPr>
          <w:lang w:val="fr-FR"/>
        </w:rPr>
        <w:t>Le requérant se pourvut en cassation. Par une décision du 9 février 2011, la Cour de cassation débouta le requérant de son pourvoi.</w:t>
      </w:r>
    </w:p>
    <w:p w:rsidR="00E77CB3" w:rsidRPr="002152BB" w:rsidRDefault="00E77CB3" w:rsidP="002152BB">
      <w:pPr>
        <w:pStyle w:val="ECHRHeading1"/>
        <w:rPr>
          <w:lang w:val="fr-FR"/>
        </w:rPr>
      </w:pPr>
      <w:r w:rsidRPr="002152BB">
        <w:rPr>
          <w:lang w:val="fr-FR"/>
        </w:rPr>
        <w:t>II.  LE DROIT ET LA PRATIQUE INTERNES PERTINENTS</w:t>
      </w:r>
    </w:p>
    <w:p w:rsidR="00310038" w:rsidRPr="002152BB" w:rsidRDefault="00C9361E"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27</w:t>
      </w:r>
      <w:r w:rsidRPr="002152BB">
        <w:rPr>
          <w:lang w:val="fr-FR"/>
        </w:rPr>
        <w:fldChar w:fldCharType="end"/>
      </w:r>
      <w:r w:rsidRPr="002152BB">
        <w:rPr>
          <w:lang w:val="fr-FR"/>
        </w:rPr>
        <w:t>.  </w:t>
      </w:r>
      <w:r w:rsidR="00A819E0" w:rsidRPr="002152BB">
        <w:rPr>
          <w:lang w:val="fr-FR"/>
        </w:rPr>
        <w:t>Dans le cas d</w:t>
      </w:r>
      <w:r w:rsidR="002152BB" w:rsidRPr="002152BB">
        <w:rPr>
          <w:lang w:val="fr-FR"/>
        </w:rPr>
        <w:t>’</w:t>
      </w:r>
      <w:r w:rsidR="00A819E0" w:rsidRPr="002152BB">
        <w:rPr>
          <w:lang w:val="fr-FR"/>
        </w:rPr>
        <w:t>une procédure pénale s</w:t>
      </w:r>
      <w:r w:rsidR="002152BB" w:rsidRPr="002152BB">
        <w:rPr>
          <w:lang w:val="fr-FR"/>
        </w:rPr>
        <w:t>’</w:t>
      </w:r>
      <w:r w:rsidR="00A819E0" w:rsidRPr="002152BB">
        <w:rPr>
          <w:lang w:val="fr-FR"/>
        </w:rPr>
        <w:t>étant déroulée par contumace, l</w:t>
      </w:r>
      <w:r w:rsidR="002152BB" w:rsidRPr="002152BB">
        <w:rPr>
          <w:lang w:val="fr-FR"/>
        </w:rPr>
        <w:t>’</w:t>
      </w:r>
      <w:r w:rsidR="00A819E0" w:rsidRPr="002152BB">
        <w:rPr>
          <w:lang w:val="fr-FR"/>
        </w:rPr>
        <w:t>article 175 §§ 2 et 3 du (CPP) prévoit la possibilité d</w:t>
      </w:r>
      <w:r w:rsidR="002152BB" w:rsidRPr="002152BB">
        <w:rPr>
          <w:lang w:val="fr-FR"/>
        </w:rPr>
        <w:t>’</w:t>
      </w:r>
      <w:r w:rsidR="00A819E0" w:rsidRPr="002152BB">
        <w:rPr>
          <w:lang w:val="fr-FR"/>
        </w:rPr>
        <w:t>introduire une demande en relevé de forclusion.</w:t>
      </w:r>
    </w:p>
    <w:p w:rsidR="00A819E0" w:rsidRPr="002152BB" w:rsidRDefault="00A819E0" w:rsidP="002152BB">
      <w:pPr>
        <w:pStyle w:val="ECHRPara"/>
        <w:rPr>
          <w:lang w:val="fr-FR"/>
        </w:rPr>
      </w:pPr>
      <w:r w:rsidRPr="002152BB">
        <w:rPr>
          <w:lang w:val="fr-FR"/>
        </w:rPr>
        <w:t>Dans son libellé en vigueur avant l</w:t>
      </w:r>
      <w:r w:rsidR="002152BB" w:rsidRPr="002152BB">
        <w:rPr>
          <w:lang w:val="fr-FR"/>
        </w:rPr>
        <w:t>’</w:t>
      </w:r>
      <w:r w:rsidRPr="002152BB">
        <w:rPr>
          <w:lang w:val="fr-FR"/>
        </w:rPr>
        <w:t>arrestation du requérant</w:t>
      </w:r>
      <w:r w:rsidRPr="002152BB">
        <w:rPr>
          <w:b/>
          <w:lang w:val="fr-FR"/>
        </w:rPr>
        <w:t>,</w:t>
      </w:r>
      <w:r w:rsidRPr="002152BB">
        <w:rPr>
          <w:lang w:val="fr-FR"/>
        </w:rPr>
        <w:t xml:space="preserve"> les parties pertinentes de cette disposition se lisaient comme suit :</w:t>
      </w:r>
    </w:p>
    <w:p w:rsidR="00A819E0" w:rsidRPr="002152BB" w:rsidRDefault="002471C5" w:rsidP="002152BB">
      <w:pPr>
        <w:pStyle w:val="ECHRParaQuote"/>
        <w:rPr>
          <w:lang w:val="fr-FR"/>
        </w:rPr>
      </w:pPr>
      <w:r w:rsidRPr="002152BB">
        <w:rPr>
          <w:lang w:val="fr-FR"/>
        </w:rPr>
        <w:t>« </w:t>
      </w:r>
      <w:r w:rsidR="00A819E0" w:rsidRPr="002152BB">
        <w:rPr>
          <w:lang w:val="fr-FR"/>
        </w:rPr>
        <w:t>En cas de condamnation par contumace (...), l</w:t>
      </w:r>
      <w:r w:rsidR="002152BB" w:rsidRPr="002152BB">
        <w:rPr>
          <w:lang w:val="fr-FR"/>
        </w:rPr>
        <w:t>’</w:t>
      </w:r>
      <w:r w:rsidR="00A819E0" w:rsidRPr="002152BB">
        <w:rPr>
          <w:lang w:val="fr-FR"/>
        </w:rPr>
        <w:t>accusé peut demander la réouverture du délai pour attaquer le jugement lorsqu</w:t>
      </w:r>
      <w:r w:rsidR="002152BB" w:rsidRPr="002152BB">
        <w:rPr>
          <w:lang w:val="fr-FR"/>
        </w:rPr>
        <w:t>’</w:t>
      </w:r>
      <w:r w:rsidR="00094DBF" w:rsidRPr="002152BB">
        <w:rPr>
          <w:lang w:val="fr-FR"/>
        </w:rPr>
        <w:t>il peut établir qu</w:t>
      </w:r>
      <w:r w:rsidR="002152BB" w:rsidRPr="002152BB">
        <w:rPr>
          <w:lang w:val="fr-FR"/>
        </w:rPr>
        <w:t>’</w:t>
      </w:r>
      <w:r w:rsidR="00A819E0" w:rsidRPr="002152BB">
        <w:rPr>
          <w:lang w:val="fr-FR"/>
        </w:rPr>
        <w:t>il n</w:t>
      </w:r>
      <w:r w:rsidR="002152BB" w:rsidRPr="002152BB">
        <w:rPr>
          <w:lang w:val="fr-FR"/>
        </w:rPr>
        <w:t>’</w:t>
      </w:r>
      <w:r w:rsidR="00A819E0" w:rsidRPr="002152BB">
        <w:rPr>
          <w:lang w:val="fr-FR"/>
        </w:rPr>
        <w:t>a pas eu une connaissance effective [</w:t>
      </w:r>
      <w:r w:rsidR="00A819E0" w:rsidRPr="002152BB">
        <w:rPr>
          <w:i/>
          <w:lang w:val="fr-FR"/>
        </w:rPr>
        <w:t>effettiva conoscenza</w:t>
      </w:r>
      <w:r w:rsidR="00A819E0" w:rsidRPr="002152BB">
        <w:rPr>
          <w:lang w:val="fr-FR"/>
        </w:rPr>
        <w:t>] [du jugement] (...) [et] à condition qu</w:t>
      </w:r>
      <w:r w:rsidR="002152BB" w:rsidRPr="002152BB">
        <w:rPr>
          <w:lang w:val="fr-FR"/>
        </w:rPr>
        <w:t>’</w:t>
      </w:r>
      <w:r w:rsidR="00A819E0" w:rsidRPr="002152BB">
        <w:rPr>
          <w:lang w:val="fr-FR"/>
        </w:rPr>
        <w:t>aucun appel n</w:t>
      </w:r>
      <w:r w:rsidR="002152BB" w:rsidRPr="002152BB">
        <w:rPr>
          <w:lang w:val="fr-FR"/>
        </w:rPr>
        <w:t>’</w:t>
      </w:r>
      <w:r w:rsidR="00A819E0" w:rsidRPr="002152BB">
        <w:rPr>
          <w:lang w:val="fr-FR"/>
        </w:rPr>
        <w:t>ait déjà été interjeté par son défenseur et qu</w:t>
      </w:r>
      <w:r w:rsidR="002152BB" w:rsidRPr="002152BB">
        <w:rPr>
          <w:lang w:val="fr-FR"/>
        </w:rPr>
        <w:t>’</w:t>
      </w:r>
      <w:r w:rsidR="00A819E0" w:rsidRPr="002152BB">
        <w:rPr>
          <w:lang w:val="fr-FR"/>
        </w:rPr>
        <w:t>il n</w:t>
      </w:r>
      <w:r w:rsidR="002152BB" w:rsidRPr="002152BB">
        <w:rPr>
          <w:lang w:val="fr-FR"/>
        </w:rPr>
        <w:t>’</w:t>
      </w:r>
      <w:r w:rsidR="00A819E0" w:rsidRPr="002152BB">
        <w:rPr>
          <w:lang w:val="fr-FR"/>
        </w:rPr>
        <w:t>y ait pas eu faute de sa part ou, si le jugement prononcé par contumace a été notifié (...) à son avocat (...), à condition qu</w:t>
      </w:r>
      <w:r w:rsidR="002152BB" w:rsidRPr="002152BB">
        <w:rPr>
          <w:lang w:val="fr-FR"/>
        </w:rPr>
        <w:t>’</w:t>
      </w:r>
      <w:r w:rsidR="00A819E0" w:rsidRPr="002152BB">
        <w:rPr>
          <w:lang w:val="fr-FR"/>
        </w:rPr>
        <w:t>il n</w:t>
      </w:r>
      <w:r w:rsidR="002152BB" w:rsidRPr="002152BB">
        <w:rPr>
          <w:lang w:val="fr-FR"/>
        </w:rPr>
        <w:t>’</w:t>
      </w:r>
      <w:r w:rsidR="00A819E0" w:rsidRPr="002152BB">
        <w:rPr>
          <w:lang w:val="fr-FR"/>
        </w:rPr>
        <w:t>ait pas volontairement refusé de prendre connaissance des actes de la procédure.</w:t>
      </w:r>
    </w:p>
    <w:p w:rsidR="00A819E0" w:rsidRPr="002152BB" w:rsidRDefault="00A819E0" w:rsidP="002152BB">
      <w:pPr>
        <w:pStyle w:val="ECHRParaQuote"/>
        <w:rPr>
          <w:lang w:val="fr-FR"/>
        </w:rPr>
      </w:pPr>
      <w:r w:rsidRPr="002152BB">
        <w:rPr>
          <w:lang w:val="fr-FR"/>
        </w:rPr>
        <w:t>La demande de réouverture du délai doit être introduite, sous peine d</w:t>
      </w:r>
      <w:r w:rsidR="002152BB" w:rsidRPr="002152BB">
        <w:rPr>
          <w:lang w:val="fr-FR"/>
        </w:rPr>
        <w:t>’</w:t>
      </w:r>
      <w:r w:rsidRPr="002152BB">
        <w:rPr>
          <w:lang w:val="fr-FR"/>
        </w:rPr>
        <w:t>irrecevabilité, dans les dix jours qui suivent la date (...) à laquelle l</w:t>
      </w:r>
      <w:r w:rsidR="002152BB" w:rsidRPr="002152BB">
        <w:rPr>
          <w:lang w:val="fr-FR"/>
        </w:rPr>
        <w:t>’</w:t>
      </w:r>
      <w:r w:rsidRPr="002152BB">
        <w:rPr>
          <w:lang w:val="fr-FR"/>
        </w:rPr>
        <w:t>accusé a</w:t>
      </w:r>
      <w:r w:rsidR="002471C5" w:rsidRPr="002152BB">
        <w:rPr>
          <w:lang w:val="fr-FR"/>
        </w:rPr>
        <w:t xml:space="preserve"> eu connaissance [du jugement]. </w:t>
      </w:r>
      <w:r w:rsidRPr="002152BB">
        <w:rPr>
          <w:lang w:val="fr-FR"/>
        </w:rPr>
        <w:t>»</w:t>
      </w:r>
    </w:p>
    <w:p w:rsidR="00A819E0" w:rsidRPr="002152BB" w:rsidRDefault="00A819E0" w:rsidP="002152BB">
      <w:pPr>
        <w:pStyle w:val="ECHRPara"/>
        <w:rPr>
          <w:lang w:val="fr-FR"/>
        </w:rPr>
      </w:pPr>
      <w:r w:rsidRPr="002152BB">
        <w:rPr>
          <w:lang w:val="fr-FR"/>
        </w:rPr>
        <w:t>La jurisprudence interne faisant application de cette disposition est décrite dans l</w:t>
      </w:r>
      <w:r w:rsidR="002152BB" w:rsidRPr="002152BB">
        <w:rPr>
          <w:lang w:val="fr-FR"/>
        </w:rPr>
        <w:t>’</w:t>
      </w:r>
      <w:r w:rsidRPr="002152BB">
        <w:rPr>
          <w:lang w:val="fr-FR"/>
        </w:rPr>
        <w:t xml:space="preserve">arrêt </w:t>
      </w:r>
      <w:r w:rsidRPr="002152BB">
        <w:rPr>
          <w:i/>
          <w:szCs w:val="24"/>
          <w:lang w:val="fr-FR"/>
        </w:rPr>
        <w:t xml:space="preserve">Sejdovic c. Italie </w:t>
      </w:r>
      <w:r w:rsidRPr="002152BB">
        <w:rPr>
          <w:szCs w:val="24"/>
          <w:lang w:val="fr-FR"/>
        </w:rPr>
        <w:t>[GC], n</w:t>
      </w:r>
      <w:r w:rsidRPr="002152BB">
        <w:rPr>
          <w:szCs w:val="24"/>
          <w:vertAlign w:val="superscript"/>
          <w:lang w:val="fr-FR"/>
        </w:rPr>
        <w:t>o</w:t>
      </w:r>
      <w:r w:rsidR="00310038" w:rsidRPr="002152BB">
        <w:rPr>
          <w:szCs w:val="24"/>
          <w:lang w:val="fr-FR"/>
        </w:rPr>
        <w:t xml:space="preserve"> 56581/00, §§ 23-24, CEDH </w:t>
      </w:r>
      <w:r w:rsidRPr="002152BB">
        <w:rPr>
          <w:szCs w:val="24"/>
          <w:lang w:val="fr-FR"/>
        </w:rPr>
        <w:t>2006</w:t>
      </w:r>
      <w:r w:rsidRPr="002152BB">
        <w:rPr>
          <w:szCs w:val="24"/>
          <w:lang w:val="fr-FR"/>
        </w:rPr>
        <w:noBreakHyphen/>
        <w:t>II.</w:t>
      </w:r>
    </w:p>
    <w:p w:rsidR="00A819E0" w:rsidRPr="002152BB" w:rsidRDefault="003649D0"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28</w:t>
      </w:r>
      <w:r w:rsidRPr="002152BB">
        <w:rPr>
          <w:lang w:val="fr-FR"/>
        </w:rPr>
        <w:fldChar w:fldCharType="end"/>
      </w:r>
      <w:r w:rsidRPr="002152BB">
        <w:rPr>
          <w:lang w:val="fr-FR"/>
        </w:rPr>
        <w:t>.  </w:t>
      </w:r>
      <w:r w:rsidR="00A819E0" w:rsidRPr="002152BB">
        <w:rPr>
          <w:lang w:val="fr-FR"/>
        </w:rPr>
        <w:t>Au moment de l</w:t>
      </w:r>
      <w:r w:rsidR="002152BB" w:rsidRPr="002152BB">
        <w:rPr>
          <w:lang w:val="fr-FR"/>
        </w:rPr>
        <w:t>’</w:t>
      </w:r>
      <w:r w:rsidR="00A819E0" w:rsidRPr="002152BB">
        <w:rPr>
          <w:lang w:val="fr-FR"/>
        </w:rPr>
        <w:t>arrestation du requérant un nouveau texte était en vigueur. En effet, la loi n</w:t>
      </w:r>
      <w:r w:rsidR="00FC42A7" w:rsidRPr="002152BB">
        <w:rPr>
          <w:vertAlign w:val="superscript"/>
          <w:lang w:val="fr-FR"/>
        </w:rPr>
        <w:t>o</w:t>
      </w:r>
      <w:r w:rsidR="00A819E0" w:rsidRPr="002152BB">
        <w:rPr>
          <w:lang w:val="fr-FR"/>
        </w:rPr>
        <w:t xml:space="preserve"> 60 de 2005</w:t>
      </w:r>
      <w:r w:rsidR="00044E65" w:rsidRPr="002152BB">
        <w:rPr>
          <w:lang w:val="fr-FR"/>
        </w:rPr>
        <w:t xml:space="preserve">, </w:t>
      </w:r>
      <w:r w:rsidR="00A819E0" w:rsidRPr="002152BB">
        <w:rPr>
          <w:lang w:val="fr-FR"/>
        </w:rPr>
        <w:t>publiée au Journal officiel (</w:t>
      </w:r>
      <w:r w:rsidR="00A819E0" w:rsidRPr="002152BB">
        <w:rPr>
          <w:i/>
          <w:lang w:val="fr-FR"/>
        </w:rPr>
        <w:t>Gazzetta ufficiale</w:t>
      </w:r>
      <w:r w:rsidR="00A819E0" w:rsidRPr="002152BB">
        <w:rPr>
          <w:lang w:val="fr-FR"/>
        </w:rPr>
        <w:t>)</w:t>
      </w:r>
      <w:r w:rsidR="00044E65" w:rsidRPr="002152BB">
        <w:rPr>
          <w:lang w:val="fr-FR"/>
        </w:rPr>
        <w:t xml:space="preserve"> le 23 avril 2005, a</w:t>
      </w:r>
      <w:r w:rsidR="00A819E0" w:rsidRPr="002152BB">
        <w:rPr>
          <w:lang w:val="fr-FR"/>
        </w:rPr>
        <w:t xml:space="preserve"> modifié l</w:t>
      </w:r>
      <w:r w:rsidR="002152BB" w:rsidRPr="002152BB">
        <w:rPr>
          <w:lang w:val="fr-FR"/>
        </w:rPr>
        <w:t>’</w:t>
      </w:r>
      <w:r w:rsidR="00A819E0" w:rsidRPr="002152BB">
        <w:rPr>
          <w:lang w:val="fr-FR"/>
        </w:rPr>
        <w:t>article 175 CPP. Le nouveau paragraphe 2 de cette disposition est ainsi rédigé :</w:t>
      </w:r>
    </w:p>
    <w:p w:rsidR="00A819E0" w:rsidRPr="002152BB" w:rsidRDefault="002471C5" w:rsidP="002152BB">
      <w:pPr>
        <w:pStyle w:val="ECHRParaQuote"/>
        <w:rPr>
          <w:lang w:val="fr-FR"/>
        </w:rPr>
      </w:pPr>
      <w:r w:rsidRPr="002152BB">
        <w:rPr>
          <w:lang w:val="fr-FR"/>
        </w:rPr>
        <w:t>« </w:t>
      </w:r>
      <w:r w:rsidR="00A819E0" w:rsidRPr="002152BB">
        <w:rPr>
          <w:lang w:val="fr-FR"/>
        </w:rPr>
        <w:t>En cas de condamnation par contumace (...), le délai pour attaquer le jugement est rouvert, à la demande de l</w:t>
      </w:r>
      <w:r w:rsidR="002152BB" w:rsidRPr="002152BB">
        <w:rPr>
          <w:lang w:val="fr-FR"/>
        </w:rPr>
        <w:t>’</w:t>
      </w:r>
      <w:r w:rsidR="00A819E0" w:rsidRPr="002152BB">
        <w:rPr>
          <w:lang w:val="fr-FR"/>
        </w:rPr>
        <w:t>accusé, sauf si ce dernier a eu une connaissance effective de la procédure [diligentée à son encontre] ou du jugement [provvedimento] et a volontairement renoncé à comparaître ou à attaquer le jugement. Les autorités judiciaires accomplissent toute véri</w:t>
      </w:r>
      <w:r w:rsidRPr="002152BB">
        <w:rPr>
          <w:lang w:val="fr-FR"/>
        </w:rPr>
        <w:t>fication nécessaire à ces fins. </w:t>
      </w:r>
      <w:r w:rsidR="00A819E0" w:rsidRPr="002152BB">
        <w:rPr>
          <w:lang w:val="fr-FR"/>
        </w:rPr>
        <w:t>»</w:t>
      </w:r>
    </w:p>
    <w:p w:rsidR="00A819E0" w:rsidRPr="002152BB" w:rsidRDefault="00A819E0" w:rsidP="002152BB">
      <w:pPr>
        <w:pStyle w:val="ECHRPara"/>
        <w:rPr>
          <w:lang w:val="fr-FR"/>
        </w:rPr>
      </w:pPr>
      <w:r w:rsidRPr="002152BB">
        <w:rPr>
          <w:lang w:val="fr-FR"/>
        </w:rPr>
        <w:t>La loi n</w:t>
      </w:r>
      <w:r w:rsidR="00FC42A7" w:rsidRPr="002152BB">
        <w:rPr>
          <w:vertAlign w:val="superscript"/>
          <w:lang w:val="fr-FR"/>
        </w:rPr>
        <w:t>o</w:t>
      </w:r>
      <w:r w:rsidR="002471C5" w:rsidRPr="002152BB">
        <w:rPr>
          <w:lang w:val="fr-FR"/>
        </w:rPr>
        <w:t> </w:t>
      </w:r>
      <w:r w:rsidRPr="002152BB">
        <w:rPr>
          <w:lang w:val="fr-FR"/>
        </w:rPr>
        <w:t>60 de 2005 a en outre introduit à l</w:t>
      </w:r>
      <w:r w:rsidR="002152BB" w:rsidRPr="002152BB">
        <w:rPr>
          <w:lang w:val="fr-FR"/>
        </w:rPr>
        <w:t>’</w:t>
      </w:r>
      <w:r w:rsidRPr="002152BB">
        <w:rPr>
          <w:lang w:val="fr-FR"/>
        </w:rPr>
        <w:t>article 175 CPP un paragraphe 2 bis, ainsi rédigé</w:t>
      </w:r>
      <w:r w:rsidR="002471C5" w:rsidRPr="002152BB">
        <w:rPr>
          <w:lang w:val="fr-FR"/>
        </w:rPr>
        <w:t> </w:t>
      </w:r>
      <w:r w:rsidRPr="002152BB">
        <w:rPr>
          <w:lang w:val="fr-FR"/>
        </w:rPr>
        <w:t>:</w:t>
      </w:r>
    </w:p>
    <w:p w:rsidR="00A819E0" w:rsidRPr="002152BB" w:rsidRDefault="002471C5" w:rsidP="002152BB">
      <w:pPr>
        <w:pStyle w:val="ECHRParaQuote"/>
        <w:rPr>
          <w:lang w:val="fr-FR"/>
        </w:rPr>
      </w:pPr>
      <w:r w:rsidRPr="002152BB">
        <w:rPr>
          <w:lang w:val="fr-FR"/>
        </w:rPr>
        <w:lastRenderedPageBreak/>
        <w:t>« </w:t>
      </w:r>
      <w:r w:rsidR="00A819E0" w:rsidRPr="002152BB">
        <w:rPr>
          <w:lang w:val="fr-FR"/>
        </w:rPr>
        <w:t>La demande indiquée au paragraphe 2 est introduite, sous peine d</w:t>
      </w:r>
      <w:r w:rsidR="002152BB" w:rsidRPr="002152BB">
        <w:rPr>
          <w:lang w:val="fr-FR"/>
        </w:rPr>
        <w:t>’</w:t>
      </w:r>
      <w:r w:rsidR="00A819E0" w:rsidRPr="002152BB">
        <w:rPr>
          <w:lang w:val="fr-FR"/>
        </w:rPr>
        <w:t>irrecevabilité, dans les trente jours qui suivent la date à laquelle l</w:t>
      </w:r>
      <w:r w:rsidR="002152BB" w:rsidRPr="002152BB">
        <w:rPr>
          <w:lang w:val="fr-FR"/>
        </w:rPr>
        <w:t>’</w:t>
      </w:r>
      <w:r w:rsidR="00A819E0" w:rsidRPr="002152BB">
        <w:rPr>
          <w:lang w:val="fr-FR"/>
        </w:rPr>
        <w:t>accusé a eu une connaissance effective du jugement. En cas d</w:t>
      </w:r>
      <w:r w:rsidR="002152BB" w:rsidRPr="002152BB">
        <w:rPr>
          <w:lang w:val="fr-FR"/>
        </w:rPr>
        <w:t>’</w:t>
      </w:r>
      <w:r w:rsidR="00A819E0" w:rsidRPr="002152BB">
        <w:rPr>
          <w:lang w:val="fr-FR"/>
        </w:rPr>
        <w:t>extradition depuis l</w:t>
      </w:r>
      <w:r w:rsidR="002152BB" w:rsidRPr="002152BB">
        <w:rPr>
          <w:lang w:val="fr-FR"/>
        </w:rPr>
        <w:t>’</w:t>
      </w:r>
      <w:r w:rsidR="00A819E0" w:rsidRPr="002152BB">
        <w:rPr>
          <w:lang w:val="fr-FR"/>
        </w:rPr>
        <w:t>étranger, le délai pour présenter la demande commence à courir à partir du moment où l</w:t>
      </w:r>
      <w:r w:rsidR="002152BB" w:rsidRPr="002152BB">
        <w:rPr>
          <w:lang w:val="fr-FR"/>
        </w:rPr>
        <w:t>’</w:t>
      </w:r>
      <w:r w:rsidR="00A819E0" w:rsidRPr="002152BB">
        <w:rPr>
          <w:lang w:val="fr-FR"/>
        </w:rPr>
        <w:t>accusé est livré [aux aut</w:t>
      </w:r>
      <w:r w:rsidRPr="002152BB">
        <w:rPr>
          <w:lang w:val="fr-FR"/>
        </w:rPr>
        <w:t>orités italiennes] (...) </w:t>
      </w:r>
      <w:r w:rsidR="00A819E0" w:rsidRPr="002152BB">
        <w:rPr>
          <w:lang w:val="fr-FR"/>
        </w:rPr>
        <w:t>»</w:t>
      </w:r>
    </w:p>
    <w:p w:rsidR="00310038" w:rsidRPr="002152BB" w:rsidRDefault="003649D0"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29</w:t>
      </w:r>
      <w:r w:rsidRPr="002152BB">
        <w:rPr>
          <w:lang w:val="fr-FR"/>
        </w:rPr>
        <w:fldChar w:fldCharType="end"/>
      </w:r>
      <w:r w:rsidRPr="002152BB">
        <w:rPr>
          <w:lang w:val="fr-FR"/>
        </w:rPr>
        <w:t>.  </w:t>
      </w:r>
      <w:r w:rsidR="00A819E0" w:rsidRPr="002152BB">
        <w:rPr>
          <w:lang w:val="fr-FR"/>
        </w:rPr>
        <w:t>L</w:t>
      </w:r>
      <w:r w:rsidR="002152BB" w:rsidRPr="002152BB">
        <w:rPr>
          <w:lang w:val="fr-FR"/>
        </w:rPr>
        <w:t>’</w:t>
      </w:r>
      <w:r w:rsidR="00A819E0" w:rsidRPr="002152BB">
        <w:rPr>
          <w:lang w:val="fr-FR"/>
        </w:rPr>
        <w:t>interprétation des nouvelles dispositions par la Cour de Cassation a débouché sur l</w:t>
      </w:r>
      <w:r w:rsidR="002152BB" w:rsidRPr="002152BB">
        <w:rPr>
          <w:lang w:val="fr-FR"/>
        </w:rPr>
        <w:t>’</w:t>
      </w:r>
      <w:r w:rsidR="00A819E0" w:rsidRPr="002152BB">
        <w:rPr>
          <w:lang w:val="fr-FR"/>
        </w:rPr>
        <w:t>arrêt des sections réunies n</w:t>
      </w:r>
      <w:r w:rsidR="00FC42A7" w:rsidRPr="002152BB">
        <w:rPr>
          <w:vertAlign w:val="superscript"/>
          <w:lang w:val="fr-FR"/>
        </w:rPr>
        <w:t>o</w:t>
      </w:r>
      <w:r w:rsidR="00A819E0" w:rsidRPr="002152BB">
        <w:rPr>
          <w:lang w:val="fr-FR"/>
        </w:rPr>
        <w:t xml:space="preserve"> 6026 du 13 janvier 2008, dans la présente affaire</w:t>
      </w:r>
      <w:r w:rsidR="00094DBF" w:rsidRPr="002152BB">
        <w:rPr>
          <w:lang w:val="fr-FR"/>
        </w:rPr>
        <w:t xml:space="preserve"> (voir paragraphe 22 ci-dessus)</w:t>
      </w:r>
      <w:r w:rsidR="00A819E0" w:rsidRPr="002152BB">
        <w:rPr>
          <w:lang w:val="fr-FR"/>
        </w:rPr>
        <w:t>.</w:t>
      </w:r>
    </w:p>
    <w:p w:rsidR="00A819E0" w:rsidRPr="002152BB" w:rsidRDefault="003649D0"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30</w:t>
      </w:r>
      <w:r w:rsidRPr="002152BB">
        <w:rPr>
          <w:lang w:val="fr-FR"/>
        </w:rPr>
        <w:fldChar w:fldCharType="end"/>
      </w:r>
      <w:r w:rsidRPr="002152BB">
        <w:rPr>
          <w:lang w:val="fr-FR"/>
        </w:rPr>
        <w:t>.  </w:t>
      </w:r>
      <w:r w:rsidR="00A819E0" w:rsidRPr="002152BB">
        <w:rPr>
          <w:lang w:val="fr-FR"/>
        </w:rPr>
        <w:t>Dans le cadre d</w:t>
      </w:r>
      <w:r w:rsidR="002152BB" w:rsidRPr="002152BB">
        <w:rPr>
          <w:lang w:val="fr-FR"/>
        </w:rPr>
        <w:t>’</w:t>
      </w:r>
      <w:r w:rsidR="00A819E0" w:rsidRPr="002152BB">
        <w:rPr>
          <w:lang w:val="fr-FR"/>
        </w:rPr>
        <w:t>une autre procédure, par une ordonnance du 2 juillet 2008 (n</w:t>
      </w:r>
      <w:r w:rsidR="00FC42A7" w:rsidRPr="002152BB">
        <w:rPr>
          <w:vertAlign w:val="superscript"/>
          <w:lang w:val="fr-FR"/>
        </w:rPr>
        <w:t>o</w:t>
      </w:r>
      <w:r w:rsidR="00A819E0" w:rsidRPr="002152BB">
        <w:rPr>
          <w:lang w:val="fr-FR"/>
        </w:rPr>
        <w:t xml:space="preserve"> 35555), la première Section de la Cour de cassation a soumis à la Cour constitutionnelle la question de savoir si l</w:t>
      </w:r>
      <w:r w:rsidR="002152BB" w:rsidRPr="002152BB">
        <w:rPr>
          <w:lang w:val="fr-FR"/>
        </w:rPr>
        <w:t>’</w:t>
      </w:r>
      <w:r w:rsidR="00A819E0" w:rsidRPr="002152BB">
        <w:rPr>
          <w:lang w:val="fr-FR"/>
        </w:rPr>
        <w:t>interprétation donnée par les sections réunies dans l</w:t>
      </w:r>
      <w:r w:rsidR="002152BB" w:rsidRPr="002152BB">
        <w:rPr>
          <w:lang w:val="fr-FR"/>
        </w:rPr>
        <w:t>’</w:t>
      </w:r>
      <w:r w:rsidR="00A819E0" w:rsidRPr="002152BB">
        <w:rPr>
          <w:lang w:val="fr-FR"/>
        </w:rPr>
        <w:t>affaire Huzuneanu était compatible avec la Constitution, notamment dans l</w:t>
      </w:r>
      <w:r w:rsidR="002152BB" w:rsidRPr="002152BB">
        <w:rPr>
          <w:lang w:val="fr-FR"/>
        </w:rPr>
        <w:t>’</w:t>
      </w:r>
      <w:r w:rsidR="00A819E0" w:rsidRPr="002152BB">
        <w:rPr>
          <w:lang w:val="fr-FR"/>
        </w:rPr>
        <w:t>hypothèse où l</w:t>
      </w:r>
      <w:r w:rsidR="002152BB" w:rsidRPr="002152BB">
        <w:rPr>
          <w:lang w:val="fr-FR"/>
        </w:rPr>
        <w:t>’</w:t>
      </w:r>
      <w:r w:rsidR="00A819E0" w:rsidRPr="002152BB">
        <w:rPr>
          <w:lang w:val="fr-FR"/>
        </w:rPr>
        <w:t>appel interjeté par l</w:t>
      </w:r>
      <w:r w:rsidR="002152BB" w:rsidRPr="002152BB">
        <w:rPr>
          <w:lang w:val="fr-FR"/>
        </w:rPr>
        <w:t>’</w:t>
      </w:r>
      <w:r w:rsidR="00A819E0" w:rsidRPr="002152BB">
        <w:rPr>
          <w:lang w:val="fr-FR"/>
        </w:rPr>
        <w:t>avocat d</w:t>
      </w:r>
      <w:r w:rsidR="002152BB" w:rsidRPr="002152BB">
        <w:rPr>
          <w:lang w:val="fr-FR"/>
        </w:rPr>
        <w:t>’</w:t>
      </w:r>
      <w:r w:rsidR="00A819E0" w:rsidRPr="002152BB">
        <w:rPr>
          <w:lang w:val="fr-FR"/>
        </w:rPr>
        <w:t>office faisait obstacle au relevé de la forclusion en faveur du condamné par contumace non officiellement informé de</w:t>
      </w:r>
      <w:r w:rsidR="002471C5" w:rsidRPr="002152BB">
        <w:rPr>
          <w:lang w:val="fr-FR"/>
        </w:rPr>
        <w:t>s poursuites.</w:t>
      </w:r>
    </w:p>
    <w:p w:rsidR="00310038" w:rsidRPr="002152BB" w:rsidRDefault="003649D0"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31</w:t>
      </w:r>
      <w:r w:rsidRPr="002152BB">
        <w:rPr>
          <w:lang w:val="fr-FR"/>
        </w:rPr>
        <w:fldChar w:fldCharType="end"/>
      </w:r>
      <w:r w:rsidRPr="002152BB">
        <w:rPr>
          <w:lang w:val="fr-FR"/>
        </w:rPr>
        <w:t>.  </w:t>
      </w:r>
      <w:r w:rsidR="00A819E0" w:rsidRPr="002152BB">
        <w:rPr>
          <w:lang w:val="fr-FR"/>
        </w:rPr>
        <w:t>Dans son arrêt n</w:t>
      </w:r>
      <w:r w:rsidR="00FC42A7" w:rsidRPr="002152BB">
        <w:rPr>
          <w:vertAlign w:val="superscript"/>
          <w:lang w:val="fr-FR"/>
        </w:rPr>
        <w:t>o</w:t>
      </w:r>
      <w:r w:rsidR="00A819E0" w:rsidRPr="002152BB">
        <w:rPr>
          <w:lang w:val="fr-FR"/>
        </w:rPr>
        <w:t xml:space="preserve"> 317 du 4 décembre 2009, la Cour constitutionnelle a déclaré inconstitutionnel l</w:t>
      </w:r>
      <w:r w:rsidR="002152BB" w:rsidRPr="002152BB">
        <w:rPr>
          <w:lang w:val="fr-FR"/>
        </w:rPr>
        <w:t>’</w:t>
      </w:r>
      <w:r w:rsidR="00A819E0" w:rsidRPr="002152BB">
        <w:rPr>
          <w:lang w:val="fr-FR"/>
        </w:rPr>
        <w:t xml:space="preserve">article 175 CPP dans la mesure où son interprétation faisait obstacle au relevé de la forclusion en faveur du condamné par contumace, non informé des poursuites, dont le défenseur avait précédemment utilisé les remèdes disponibles pour attaquer la décision de condamnation. </w:t>
      </w:r>
      <w:r w:rsidR="005F6A72" w:rsidRPr="002152BB">
        <w:rPr>
          <w:lang w:val="fr-FR"/>
        </w:rPr>
        <w:t>Elle a notamment indiqué dans son raisonnement que les garanties de l</w:t>
      </w:r>
      <w:r w:rsidR="002152BB" w:rsidRPr="002152BB">
        <w:rPr>
          <w:lang w:val="fr-FR"/>
        </w:rPr>
        <w:t>’</w:t>
      </w:r>
      <w:r w:rsidR="005F6A72" w:rsidRPr="002152BB">
        <w:rPr>
          <w:lang w:val="fr-FR"/>
        </w:rPr>
        <w:t>accusé contumace ne pouvaient pas être « épuisées » par le comportement d</w:t>
      </w:r>
      <w:r w:rsidR="002152BB" w:rsidRPr="002152BB">
        <w:rPr>
          <w:lang w:val="fr-FR"/>
        </w:rPr>
        <w:t>’</w:t>
      </w:r>
      <w:r w:rsidR="005F6A72" w:rsidRPr="002152BB">
        <w:rPr>
          <w:lang w:val="fr-FR"/>
        </w:rPr>
        <w:t>un avocat commis d</w:t>
      </w:r>
      <w:r w:rsidR="002152BB" w:rsidRPr="002152BB">
        <w:rPr>
          <w:lang w:val="fr-FR"/>
        </w:rPr>
        <w:t>’</w:t>
      </w:r>
      <w:r w:rsidR="005F6A72" w:rsidRPr="002152BB">
        <w:rPr>
          <w:lang w:val="fr-FR"/>
        </w:rPr>
        <w:t>office agissa</w:t>
      </w:r>
      <w:r w:rsidR="00163AD8" w:rsidRPr="002152BB">
        <w:rPr>
          <w:lang w:val="fr-FR"/>
        </w:rPr>
        <w:t>nt</w:t>
      </w:r>
      <w:r w:rsidR="005F6A72" w:rsidRPr="002152BB">
        <w:rPr>
          <w:lang w:val="fr-FR"/>
        </w:rPr>
        <w:t xml:space="preserve"> </w:t>
      </w:r>
      <w:r w:rsidR="00C720BE" w:rsidRPr="002152BB">
        <w:rPr>
          <w:lang w:val="fr-FR"/>
        </w:rPr>
        <w:t xml:space="preserve">de sa propre initiative et </w:t>
      </w:r>
      <w:r w:rsidR="005F6A72" w:rsidRPr="002152BB">
        <w:rPr>
          <w:lang w:val="fr-FR"/>
        </w:rPr>
        <w:t>sans mandat de la part de l</w:t>
      </w:r>
      <w:r w:rsidR="002152BB" w:rsidRPr="002152BB">
        <w:rPr>
          <w:lang w:val="fr-FR"/>
        </w:rPr>
        <w:t>’</w:t>
      </w:r>
      <w:r w:rsidR="005F6A72" w:rsidRPr="002152BB">
        <w:rPr>
          <w:lang w:val="fr-FR"/>
        </w:rPr>
        <w:t>accusé.</w:t>
      </w:r>
    </w:p>
    <w:p w:rsidR="00310038" w:rsidRPr="002152BB" w:rsidRDefault="00204F91"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32</w:t>
      </w:r>
      <w:r w:rsidRPr="002152BB">
        <w:rPr>
          <w:lang w:val="fr-FR"/>
        </w:rPr>
        <w:fldChar w:fldCharType="end"/>
      </w:r>
      <w:r w:rsidRPr="002152BB">
        <w:rPr>
          <w:lang w:val="fr-FR"/>
        </w:rPr>
        <w:t>.  </w:t>
      </w:r>
      <w:r w:rsidR="00A8282D" w:rsidRPr="002152BB">
        <w:rPr>
          <w:lang w:val="fr-FR"/>
        </w:rPr>
        <w:t>Le code de procédure pénal</w:t>
      </w:r>
      <w:r w:rsidR="00523A8B" w:rsidRPr="002152BB">
        <w:rPr>
          <w:lang w:val="fr-FR"/>
        </w:rPr>
        <w:t>e</w:t>
      </w:r>
      <w:r w:rsidR="00A8282D" w:rsidRPr="002152BB">
        <w:rPr>
          <w:lang w:val="fr-FR"/>
        </w:rPr>
        <w:t xml:space="preserve"> ne prévoit pas la possibilité de demander la révision du procès pénal à la suite d</w:t>
      </w:r>
      <w:r w:rsidR="002152BB" w:rsidRPr="002152BB">
        <w:rPr>
          <w:lang w:val="fr-FR"/>
        </w:rPr>
        <w:t>’</w:t>
      </w:r>
      <w:r w:rsidR="00A8282D" w:rsidRPr="002152BB">
        <w:rPr>
          <w:lang w:val="fr-FR"/>
        </w:rPr>
        <w:t>un arrêt de la Cour concluant à la violation de l</w:t>
      </w:r>
      <w:r w:rsidR="002152BB" w:rsidRPr="002152BB">
        <w:rPr>
          <w:lang w:val="fr-FR"/>
        </w:rPr>
        <w:t>’</w:t>
      </w:r>
      <w:r w:rsidR="00A8282D" w:rsidRPr="002152BB">
        <w:rPr>
          <w:lang w:val="fr-FR"/>
        </w:rPr>
        <w:t>article 6 de la Convention. Pour ce motif, d</w:t>
      </w:r>
      <w:r w:rsidRPr="002152BB">
        <w:rPr>
          <w:lang w:val="fr-FR"/>
        </w:rPr>
        <w:t>ans son arrêt n</w:t>
      </w:r>
      <w:r w:rsidR="00FC42A7" w:rsidRPr="002152BB">
        <w:rPr>
          <w:vertAlign w:val="superscript"/>
          <w:lang w:val="fr-FR"/>
        </w:rPr>
        <w:t>o</w:t>
      </w:r>
      <w:r w:rsidR="00A8282D" w:rsidRPr="002152BB">
        <w:rPr>
          <w:lang w:val="fr-FR"/>
        </w:rPr>
        <w:t> </w:t>
      </w:r>
      <w:r w:rsidRPr="002152BB">
        <w:rPr>
          <w:lang w:val="fr-FR"/>
        </w:rPr>
        <w:t xml:space="preserve"> 113 du </w:t>
      </w:r>
      <w:r w:rsidR="003017BD" w:rsidRPr="002152BB">
        <w:rPr>
          <w:lang w:val="fr-FR"/>
        </w:rPr>
        <w:t>7 avril 2011, la Cour constitutionnelle</w:t>
      </w:r>
      <w:r w:rsidR="00A8282D" w:rsidRPr="002152BB">
        <w:rPr>
          <w:lang w:val="fr-FR"/>
        </w:rPr>
        <w:t xml:space="preserve"> a déclaré inconstitutionnel l</w:t>
      </w:r>
      <w:r w:rsidR="002152BB" w:rsidRPr="002152BB">
        <w:rPr>
          <w:lang w:val="fr-FR"/>
        </w:rPr>
        <w:t>’</w:t>
      </w:r>
      <w:r w:rsidR="00A8282D" w:rsidRPr="002152BB">
        <w:rPr>
          <w:lang w:val="fr-FR"/>
        </w:rPr>
        <w:t>article 630 du code de procédure pénale – disposition énumérant les cas où il est possible de demander la révision du procès.</w:t>
      </w:r>
      <w:r w:rsidR="00C16126" w:rsidRPr="002152BB">
        <w:rPr>
          <w:lang w:val="fr-FR"/>
        </w:rPr>
        <w:t xml:space="preserve"> Par l</w:t>
      </w:r>
      <w:r w:rsidR="002152BB" w:rsidRPr="002152BB">
        <w:rPr>
          <w:lang w:val="fr-FR"/>
        </w:rPr>
        <w:t>’</w:t>
      </w:r>
      <w:r w:rsidR="00C16126" w:rsidRPr="002152BB">
        <w:rPr>
          <w:lang w:val="fr-FR"/>
        </w:rPr>
        <w:t>effet de cet arrêt (</w:t>
      </w:r>
      <w:r w:rsidR="00C16126" w:rsidRPr="002152BB">
        <w:rPr>
          <w:i/>
          <w:lang w:val="fr-FR"/>
        </w:rPr>
        <w:t>effetto additivo</w:t>
      </w:r>
      <w:r w:rsidR="00C16126" w:rsidRPr="002152BB">
        <w:rPr>
          <w:lang w:val="fr-FR"/>
        </w:rPr>
        <w:t>) l</w:t>
      </w:r>
      <w:r w:rsidR="002152BB" w:rsidRPr="002152BB">
        <w:rPr>
          <w:lang w:val="fr-FR"/>
        </w:rPr>
        <w:t>’</w:t>
      </w:r>
      <w:r w:rsidR="00C16126" w:rsidRPr="002152BB">
        <w:rPr>
          <w:lang w:val="fr-FR"/>
        </w:rPr>
        <w:t>article 630 du code de procédure pénale a été modifié : il est désormais possible d</w:t>
      </w:r>
      <w:r w:rsidR="002152BB" w:rsidRPr="002152BB">
        <w:rPr>
          <w:lang w:val="fr-FR"/>
        </w:rPr>
        <w:t>’</w:t>
      </w:r>
      <w:r w:rsidR="00C16126" w:rsidRPr="002152BB">
        <w:rPr>
          <w:lang w:val="fr-FR"/>
        </w:rPr>
        <w:t>introduire une demande en révision du procès en s</w:t>
      </w:r>
      <w:r w:rsidR="002152BB" w:rsidRPr="002152BB">
        <w:rPr>
          <w:lang w:val="fr-FR"/>
        </w:rPr>
        <w:t>’</w:t>
      </w:r>
      <w:r w:rsidR="00C16126" w:rsidRPr="002152BB">
        <w:rPr>
          <w:lang w:val="fr-FR"/>
        </w:rPr>
        <w:t>appuyant sur un arrêt de la Cour ayant constaté le caractère inéquitable de la procédure.</w:t>
      </w:r>
    </w:p>
    <w:p w:rsidR="003C5ADD" w:rsidRPr="002152BB" w:rsidRDefault="003C5ADD" w:rsidP="002152BB">
      <w:pPr>
        <w:pStyle w:val="ECHRHeading1"/>
        <w:rPr>
          <w:lang w:val="fr-FR"/>
        </w:rPr>
      </w:pPr>
      <w:r w:rsidRPr="002152BB">
        <w:rPr>
          <w:lang w:val="fr-FR"/>
        </w:rPr>
        <w:t>III.  RECCOMANDATION N</w:t>
      </w:r>
      <w:r w:rsidR="00FC42A7" w:rsidRPr="002152BB">
        <w:rPr>
          <w:vertAlign w:val="superscript"/>
          <w:lang w:val="fr-FR"/>
        </w:rPr>
        <w:t>o</w:t>
      </w:r>
      <w:r w:rsidRPr="002152BB">
        <w:rPr>
          <w:lang w:val="fr-FR"/>
        </w:rPr>
        <w:t xml:space="preserve"> R (2000) 2 DU COMITE DES MINISTRES DU CONSEIL DE L</w:t>
      </w:r>
      <w:r w:rsidR="002152BB" w:rsidRPr="002152BB">
        <w:rPr>
          <w:lang w:val="fr-FR"/>
        </w:rPr>
        <w:t>’</w:t>
      </w:r>
      <w:r w:rsidRPr="002152BB">
        <w:rPr>
          <w:lang w:val="fr-FR"/>
        </w:rPr>
        <w:t>EUROPE</w:t>
      </w:r>
    </w:p>
    <w:p w:rsidR="003C5ADD" w:rsidRPr="002152BB" w:rsidRDefault="003C5ADD"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33</w:t>
      </w:r>
      <w:r w:rsidRPr="002152BB">
        <w:rPr>
          <w:lang w:val="fr-FR"/>
        </w:rPr>
        <w:fldChar w:fldCharType="end"/>
      </w:r>
      <w:r w:rsidRPr="002152BB">
        <w:rPr>
          <w:lang w:val="fr-FR"/>
        </w:rPr>
        <w:t>.  </w:t>
      </w:r>
      <w:r w:rsidR="00C9361E" w:rsidRPr="002152BB">
        <w:rPr>
          <w:lang w:val="fr-FR"/>
        </w:rPr>
        <w:t>Dans sa Recommandation n</w:t>
      </w:r>
      <w:r w:rsidR="00FC42A7" w:rsidRPr="002152BB">
        <w:rPr>
          <w:vertAlign w:val="superscript"/>
          <w:lang w:val="fr-FR"/>
        </w:rPr>
        <w:t>o</w:t>
      </w:r>
      <w:r w:rsidR="00C9361E" w:rsidRPr="002152BB">
        <w:rPr>
          <w:lang w:val="fr-FR"/>
        </w:rPr>
        <w:t xml:space="preserve"> </w:t>
      </w:r>
      <w:r w:rsidRPr="002152BB">
        <w:rPr>
          <w:lang w:val="fr-FR"/>
        </w:rPr>
        <w:t>R(2000)2 sur le réexamen ou la réouverture de certaines affaires au niveau interne suite à des arrêts de la Cour européenne des droits de l</w:t>
      </w:r>
      <w:r w:rsidR="002152BB" w:rsidRPr="002152BB">
        <w:rPr>
          <w:lang w:val="fr-FR"/>
        </w:rPr>
        <w:t>’</w:t>
      </w:r>
      <w:r w:rsidRPr="002152BB">
        <w:rPr>
          <w:lang w:val="fr-FR"/>
        </w:rPr>
        <w:t>homme, le Comité des ministres du Conseil de l</w:t>
      </w:r>
      <w:r w:rsidR="002152BB" w:rsidRPr="002152BB">
        <w:rPr>
          <w:lang w:val="fr-FR"/>
        </w:rPr>
        <w:t>’</w:t>
      </w:r>
      <w:r w:rsidRPr="002152BB">
        <w:rPr>
          <w:lang w:val="fr-FR"/>
        </w:rPr>
        <w:t>Europe a encouragé « les Parties contractantes à examiner leurs systèmes juridiques n</w:t>
      </w:r>
      <w:r w:rsidR="00C720BE" w:rsidRPr="002152BB">
        <w:rPr>
          <w:lang w:val="fr-FR"/>
        </w:rPr>
        <w:t>ationaux en vue de s</w:t>
      </w:r>
      <w:r w:rsidR="002152BB" w:rsidRPr="002152BB">
        <w:rPr>
          <w:lang w:val="fr-FR"/>
        </w:rPr>
        <w:t>’</w:t>
      </w:r>
      <w:r w:rsidR="00C720BE" w:rsidRPr="002152BB">
        <w:rPr>
          <w:lang w:val="fr-FR"/>
        </w:rPr>
        <w:t>assurer qu</w:t>
      </w:r>
      <w:r w:rsidR="002152BB" w:rsidRPr="002152BB">
        <w:rPr>
          <w:lang w:val="fr-FR"/>
        </w:rPr>
        <w:t>’</w:t>
      </w:r>
      <w:r w:rsidRPr="002152BB">
        <w:rPr>
          <w:lang w:val="fr-FR"/>
        </w:rPr>
        <w:t>il existe des possibilités appropriées pour le réexamen d</w:t>
      </w:r>
      <w:r w:rsidR="002152BB" w:rsidRPr="002152BB">
        <w:rPr>
          <w:lang w:val="fr-FR"/>
        </w:rPr>
        <w:t>’</w:t>
      </w:r>
      <w:r w:rsidRPr="002152BB">
        <w:rPr>
          <w:lang w:val="fr-FR"/>
        </w:rPr>
        <w:t xml:space="preserve">une affaire, y compris la </w:t>
      </w:r>
      <w:r w:rsidRPr="002152BB">
        <w:rPr>
          <w:lang w:val="fr-FR"/>
        </w:rPr>
        <w:lastRenderedPageBreak/>
        <w:t>réouverture d</w:t>
      </w:r>
      <w:r w:rsidR="002152BB" w:rsidRPr="002152BB">
        <w:rPr>
          <w:lang w:val="fr-FR"/>
        </w:rPr>
        <w:t>’</w:t>
      </w:r>
      <w:r w:rsidRPr="002152BB">
        <w:rPr>
          <w:lang w:val="fr-FR"/>
        </w:rPr>
        <w:t>une procédure, dans les cas où la Cour a constaté une violation de la Convention, en particulier lorsque : i) la partie lésée continue de souffrir des conséquences négatives très graves à la suite de la décision nationale, conséquences qui ne peuvent être compensées par la satisfaction équitable et qui ne peuvent être modifiées que par le réexamen ou la réouverture, et ii) il résulte de l</w:t>
      </w:r>
      <w:r w:rsidR="002152BB" w:rsidRPr="002152BB">
        <w:rPr>
          <w:lang w:val="fr-FR"/>
        </w:rPr>
        <w:t>’</w:t>
      </w:r>
      <w:r w:rsidRPr="002152BB">
        <w:rPr>
          <w:lang w:val="fr-FR"/>
        </w:rPr>
        <w:t>arrêt de la Cour que a) la décision interne attaquée est contraire sur le fond à la Convention, ou b) la violation constatée est causée par des erreurs ou défaillances de procédure d</w:t>
      </w:r>
      <w:r w:rsidR="002152BB" w:rsidRPr="002152BB">
        <w:rPr>
          <w:lang w:val="fr-FR"/>
        </w:rPr>
        <w:t>’</w:t>
      </w:r>
      <w:r w:rsidRPr="002152BB">
        <w:rPr>
          <w:lang w:val="fr-FR"/>
        </w:rPr>
        <w:t>une gravité telle qu</w:t>
      </w:r>
      <w:r w:rsidR="002152BB" w:rsidRPr="002152BB">
        <w:rPr>
          <w:lang w:val="fr-FR"/>
        </w:rPr>
        <w:t>’</w:t>
      </w:r>
      <w:r w:rsidRPr="002152BB">
        <w:rPr>
          <w:lang w:val="fr-FR"/>
        </w:rPr>
        <w:t>un doute sérieux est jeté sur le résultat de la procédure interne attaquée</w:t>
      </w:r>
      <w:r w:rsidR="002471C5" w:rsidRPr="002152BB">
        <w:rPr>
          <w:lang w:val="fr-FR"/>
        </w:rPr>
        <w:t> </w:t>
      </w:r>
      <w:r w:rsidRPr="002152BB">
        <w:rPr>
          <w:lang w:val="fr-FR"/>
        </w:rPr>
        <w:t>».</w:t>
      </w:r>
    </w:p>
    <w:p w:rsidR="00E77CB3" w:rsidRPr="002152BB" w:rsidRDefault="00E77CB3" w:rsidP="002152BB">
      <w:pPr>
        <w:pStyle w:val="ECHRTitle1"/>
        <w:rPr>
          <w:lang w:val="fr-FR"/>
        </w:rPr>
      </w:pPr>
      <w:r w:rsidRPr="002152BB">
        <w:rPr>
          <w:lang w:val="fr-FR"/>
        </w:rPr>
        <w:t>EN DROIT</w:t>
      </w:r>
    </w:p>
    <w:p w:rsidR="00E77CB3" w:rsidRPr="002152BB" w:rsidRDefault="00E77CB3" w:rsidP="002152BB">
      <w:pPr>
        <w:pStyle w:val="ECHRHeading1"/>
        <w:rPr>
          <w:lang w:val="fr-FR"/>
        </w:rPr>
      </w:pPr>
      <w:r w:rsidRPr="002152BB">
        <w:rPr>
          <w:lang w:val="fr-FR"/>
        </w:rPr>
        <w:t>I.  SUR LA VIOLATION ALLÉGUÉE DE L</w:t>
      </w:r>
      <w:r w:rsidR="002152BB" w:rsidRPr="002152BB">
        <w:rPr>
          <w:lang w:val="fr-FR"/>
        </w:rPr>
        <w:t>’</w:t>
      </w:r>
      <w:r w:rsidRPr="002152BB">
        <w:rPr>
          <w:lang w:val="fr-FR"/>
        </w:rPr>
        <w:t xml:space="preserve">ARTICLE </w:t>
      </w:r>
      <w:r w:rsidR="003649D0" w:rsidRPr="002152BB">
        <w:rPr>
          <w:lang w:val="fr-FR"/>
        </w:rPr>
        <w:t>6</w:t>
      </w:r>
      <w:r w:rsidRPr="002152BB">
        <w:rPr>
          <w:lang w:val="fr-FR"/>
        </w:rPr>
        <w:t xml:space="preserve"> DE LA CONVENTION</w:t>
      </w:r>
    </w:p>
    <w:p w:rsidR="003A3D57"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34</w:t>
      </w:r>
      <w:r w:rsidRPr="002152BB">
        <w:rPr>
          <w:lang w:val="fr-FR"/>
        </w:rPr>
        <w:fldChar w:fldCharType="end"/>
      </w:r>
      <w:r w:rsidR="00E77CB3" w:rsidRPr="002152BB">
        <w:rPr>
          <w:lang w:val="fr-FR"/>
        </w:rPr>
        <w:t>.  </w:t>
      </w:r>
      <w:r w:rsidR="003A3D57" w:rsidRPr="002152BB">
        <w:rPr>
          <w:lang w:val="fr-FR"/>
        </w:rPr>
        <w:t>Le requérant</w:t>
      </w:r>
      <w:r w:rsidR="00311C54" w:rsidRPr="002152BB">
        <w:rPr>
          <w:lang w:val="fr-FR"/>
        </w:rPr>
        <w:t xml:space="preserve">, </w:t>
      </w:r>
      <w:r w:rsidR="003A3D57" w:rsidRPr="002152BB">
        <w:rPr>
          <w:lang w:val="fr-FR"/>
        </w:rPr>
        <w:t>condamné par contumace</w:t>
      </w:r>
      <w:r w:rsidR="00311C54" w:rsidRPr="002152BB">
        <w:rPr>
          <w:lang w:val="fr-FR"/>
        </w:rPr>
        <w:t>, se plaint de l</w:t>
      </w:r>
      <w:r w:rsidR="002152BB" w:rsidRPr="002152BB">
        <w:rPr>
          <w:lang w:val="fr-FR"/>
        </w:rPr>
        <w:t>’</w:t>
      </w:r>
      <w:r w:rsidR="00311C54" w:rsidRPr="002152BB">
        <w:rPr>
          <w:lang w:val="fr-FR"/>
        </w:rPr>
        <w:t>impossibilité d</w:t>
      </w:r>
      <w:r w:rsidR="002152BB" w:rsidRPr="002152BB">
        <w:rPr>
          <w:lang w:val="fr-FR"/>
        </w:rPr>
        <w:t>’</w:t>
      </w:r>
      <w:r w:rsidR="00311C54" w:rsidRPr="002152BB">
        <w:rPr>
          <w:lang w:val="fr-FR"/>
        </w:rPr>
        <w:t xml:space="preserve">obtenir la réouverture du procès </w:t>
      </w:r>
      <w:r w:rsidR="006E79FB" w:rsidRPr="002152BB">
        <w:rPr>
          <w:lang w:val="fr-FR"/>
        </w:rPr>
        <w:t>devant les juridictions italiennes e</w:t>
      </w:r>
      <w:r w:rsidR="00311C54" w:rsidRPr="002152BB">
        <w:rPr>
          <w:lang w:val="fr-FR"/>
        </w:rPr>
        <w:t xml:space="preserve">t de </w:t>
      </w:r>
      <w:r w:rsidR="003A3D57" w:rsidRPr="002152BB">
        <w:rPr>
          <w:lang w:val="fr-FR"/>
        </w:rPr>
        <w:t xml:space="preserve">présenter sa défense devant </w:t>
      </w:r>
      <w:r w:rsidR="00014022" w:rsidRPr="002152BB">
        <w:rPr>
          <w:lang w:val="fr-FR"/>
        </w:rPr>
        <w:t>celle</w:t>
      </w:r>
      <w:r w:rsidR="006E79FB" w:rsidRPr="002152BB">
        <w:rPr>
          <w:lang w:val="fr-FR"/>
        </w:rPr>
        <w:t>s</w:t>
      </w:r>
      <w:r w:rsidR="00014022" w:rsidRPr="002152BB">
        <w:rPr>
          <w:lang w:val="fr-FR"/>
        </w:rPr>
        <w:t>-ci</w:t>
      </w:r>
      <w:r w:rsidR="003A3D57" w:rsidRPr="002152BB">
        <w:rPr>
          <w:lang w:val="fr-FR"/>
        </w:rPr>
        <w:t>. Il invoque l</w:t>
      </w:r>
      <w:r w:rsidR="002152BB" w:rsidRPr="002152BB">
        <w:rPr>
          <w:lang w:val="fr-FR"/>
        </w:rPr>
        <w:t>’</w:t>
      </w:r>
      <w:r w:rsidR="003A3D57" w:rsidRPr="002152BB">
        <w:rPr>
          <w:lang w:val="fr-FR"/>
        </w:rPr>
        <w:t>article 6 de la Convention qui, en ses parties pertinentes, est ainsi libellé :</w:t>
      </w:r>
    </w:p>
    <w:p w:rsidR="003A3D57" w:rsidRPr="002152BB" w:rsidRDefault="003A3D57" w:rsidP="002152BB">
      <w:pPr>
        <w:pStyle w:val="ECHRParaQuote"/>
        <w:rPr>
          <w:lang w:val="fr-FR"/>
        </w:rPr>
      </w:pPr>
      <w:r w:rsidRPr="002152BB">
        <w:rPr>
          <w:lang w:val="fr-FR"/>
        </w:rPr>
        <w:t>« 1.  Toute personne a droit à ce que sa cause soit entendue équitablement (...) par un tribunal (...) qui décidera (...) du bien-fondé de toute accusation en matière pénale dirigée contre elle. (...)</w:t>
      </w:r>
    </w:p>
    <w:p w:rsidR="003A3D57" w:rsidRPr="002152BB" w:rsidRDefault="003A3D57" w:rsidP="002152BB">
      <w:pPr>
        <w:pStyle w:val="ECHRParaQuote"/>
        <w:rPr>
          <w:lang w:val="fr-FR"/>
        </w:rPr>
      </w:pPr>
      <w:r w:rsidRPr="002152BB">
        <w:rPr>
          <w:lang w:val="fr-FR"/>
        </w:rPr>
        <w:t>2.  Toute personne accusée d</w:t>
      </w:r>
      <w:r w:rsidR="002152BB" w:rsidRPr="002152BB">
        <w:rPr>
          <w:lang w:val="fr-FR"/>
        </w:rPr>
        <w:t>’</w:t>
      </w:r>
      <w:r w:rsidRPr="002152BB">
        <w:rPr>
          <w:lang w:val="fr-FR"/>
        </w:rPr>
        <w:t>une infraction est présumée innocente jusqu</w:t>
      </w:r>
      <w:r w:rsidR="002152BB" w:rsidRPr="002152BB">
        <w:rPr>
          <w:lang w:val="fr-FR"/>
        </w:rPr>
        <w:t>’</w:t>
      </w:r>
      <w:r w:rsidRPr="002152BB">
        <w:rPr>
          <w:lang w:val="fr-FR"/>
        </w:rPr>
        <w:t>à ce que sa culpabilité ait été légalement établie.</w:t>
      </w:r>
    </w:p>
    <w:p w:rsidR="003A3D57" w:rsidRPr="002152BB" w:rsidRDefault="003A3D57" w:rsidP="002152BB">
      <w:pPr>
        <w:pStyle w:val="ECHRParaQuote"/>
        <w:rPr>
          <w:lang w:val="fr-FR"/>
        </w:rPr>
      </w:pPr>
      <w:r w:rsidRPr="002152BB">
        <w:rPr>
          <w:lang w:val="fr-FR"/>
        </w:rPr>
        <w:t>3.  Tout accusé a droit notamment à :</w:t>
      </w:r>
    </w:p>
    <w:p w:rsidR="003A3D57" w:rsidRPr="002152BB" w:rsidRDefault="003A3D57" w:rsidP="002152BB">
      <w:pPr>
        <w:pStyle w:val="ECHRParaQuote"/>
        <w:rPr>
          <w:lang w:val="fr-FR"/>
        </w:rPr>
      </w:pPr>
      <w:r w:rsidRPr="002152BB">
        <w:rPr>
          <w:lang w:val="fr-FR"/>
        </w:rPr>
        <w:t>a)  être informé, dans le plus court délai, dans une langue qu</w:t>
      </w:r>
      <w:r w:rsidR="002152BB" w:rsidRPr="002152BB">
        <w:rPr>
          <w:lang w:val="fr-FR"/>
        </w:rPr>
        <w:t>’</w:t>
      </w:r>
      <w:r w:rsidRPr="002152BB">
        <w:rPr>
          <w:lang w:val="fr-FR"/>
        </w:rPr>
        <w:t>il comprend et d</w:t>
      </w:r>
      <w:r w:rsidR="002152BB" w:rsidRPr="002152BB">
        <w:rPr>
          <w:lang w:val="fr-FR"/>
        </w:rPr>
        <w:t>’</w:t>
      </w:r>
      <w:r w:rsidRPr="002152BB">
        <w:rPr>
          <w:lang w:val="fr-FR"/>
        </w:rPr>
        <w:t>une manière détaillée, de la nature et de la cause de l</w:t>
      </w:r>
      <w:r w:rsidR="002152BB" w:rsidRPr="002152BB">
        <w:rPr>
          <w:lang w:val="fr-FR"/>
        </w:rPr>
        <w:t>’</w:t>
      </w:r>
      <w:r w:rsidRPr="002152BB">
        <w:rPr>
          <w:lang w:val="fr-FR"/>
        </w:rPr>
        <w:t>accusation portée contre lui ;</w:t>
      </w:r>
    </w:p>
    <w:p w:rsidR="003A3D57" w:rsidRPr="002152BB" w:rsidRDefault="003A3D57" w:rsidP="002152BB">
      <w:pPr>
        <w:pStyle w:val="ECHRParaQuote"/>
        <w:rPr>
          <w:lang w:val="fr-FR"/>
        </w:rPr>
      </w:pPr>
      <w:r w:rsidRPr="002152BB">
        <w:rPr>
          <w:lang w:val="fr-FR"/>
        </w:rPr>
        <w:t>b)  disposer du temps et des facilités nécessaires à la préparation de sa défense ;</w:t>
      </w:r>
    </w:p>
    <w:p w:rsidR="003A3D57" w:rsidRPr="002152BB" w:rsidRDefault="003A3D57" w:rsidP="002152BB">
      <w:pPr>
        <w:pStyle w:val="ECHRParaQuote"/>
        <w:rPr>
          <w:lang w:val="fr-FR"/>
        </w:rPr>
      </w:pPr>
      <w:r w:rsidRPr="002152BB">
        <w:rPr>
          <w:lang w:val="fr-FR"/>
        </w:rPr>
        <w:t>c)  se défendre lui-même ou avoir l</w:t>
      </w:r>
      <w:r w:rsidR="002152BB" w:rsidRPr="002152BB">
        <w:rPr>
          <w:lang w:val="fr-FR"/>
        </w:rPr>
        <w:t>’</w:t>
      </w:r>
      <w:r w:rsidRPr="002152BB">
        <w:rPr>
          <w:lang w:val="fr-FR"/>
        </w:rPr>
        <w:t>assistance d</w:t>
      </w:r>
      <w:r w:rsidR="002152BB" w:rsidRPr="002152BB">
        <w:rPr>
          <w:lang w:val="fr-FR"/>
        </w:rPr>
        <w:t>’</w:t>
      </w:r>
      <w:r w:rsidRPr="002152BB">
        <w:rPr>
          <w:lang w:val="fr-FR"/>
        </w:rPr>
        <w:t>un défenseur de son choix et, s</w:t>
      </w:r>
      <w:r w:rsidR="002152BB" w:rsidRPr="002152BB">
        <w:rPr>
          <w:lang w:val="fr-FR"/>
        </w:rPr>
        <w:t>’</w:t>
      </w:r>
      <w:r w:rsidRPr="002152BB">
        <w:rPr>
          <w:lang w:val="fr-FR"/>
        </w:rPr>
        <w:t>il n</w:t>
      </w:r>
      <w:r w:rsidR="002152BB" w:rsidRPr="002152BB">
        <w:rPr>
          <w:lang w:val="fr-FR"/>
        </w:rPr>
        <w:t>’</w:t>
      </w:r>
      <w:r w:rsidRPr="002152BB">
        <w:rPr>
          <w:lang w:val="fr-FR"/>
        </w:rPr>
        <w:t>a pas les moyens de rémunérer un défenseur, pouvoir être assisté gratuitement par un avocat d</w:t>
      </w:r>
      <w:r w:rsidR="002152BB" w:rsidRPr="002152BB">
        <w:rPr>
          <w:lang w:val="fr-FR"/>
        </w:rPr>
        <w:t>’</w:t>
      </w:r>
      <w:r w:rsidRPr="002152BB">
        <w:rPr>
          <w:lang w:val="fr-FR"/>
        </w:rPr>
        <w:t>office, lorsque les intérêts de la justice l</w:t>
      </w:r>
      <w:r w:rsidR="002152BB" w:rsidRPr="002152BB">
        <w:rPr>
          <w:lang w:val="fr-FR"/>
        </w:rPr>
        <w:t>’</w:t>
      </w:r>
      <w:r w:rsidRPr="002152BB">
        <w:rPr>
          <w:lang w:val="fr-FR"/>
        </w:rPr>
        <w:t>exigent ;</w:t>
      </w:r>
    </w:p>
    <w:p w:rsidR="003A3D57" w:rsidRPr="002152BB" w:rsidRDefault="003A3D57" w:rsidP="002152BB">
      <w:pPr>
        <w:pStyle w:val="ECHRParaQuote"/>
        <w:rPr>
          <w:lang w:val="fr-FR"/>
        </w:rPr>
      </w:pPr>
      <w:r w:rsidRPr="002152BB">
        <w:rPr>
          <w:lang w:val="fr-FR"/>
        </w:rPr>
        <w:t>d)  interroger ou faire interroger les témoins à charge et obtenir la convocation et l</w:t>
      </w:r>
      <w:r w:rsidR="002152BB" w:rsidRPr="002152BB">
        <w:rPr>
          <w:lang w:val="fr-FR"/>
        </w:rPr>
        <w:t>’</w:t>
      </w:r>
      <w:r w:rsidRPr="002152BB">
        <w:rPr>
          <w:lang w:val="fr-FR"/>
        </w:rPr>
        <w:t>interrogation des témoins à décharge dans les mêmes conditions que les témoins à charge ;</w:t>
      </w:r>
    </w:p>
    <w:p w:rsidR="003A3D57" w:rsidRPr="002152BB" w:rsidRDefault="003A3D57" w:rsidP="002152BB">
      <w:pPr>
        <w:pStyle w:val="ECHRParaQuote"/>
        <w:rPr>
          <w:lang w:val="fr-FR"/>
        </w:rPr>
      </w:pPr>
      <w:r w:rsidRPr="002152BB">
        <w:rPr>
          <w:lang w:val="fr-FR"/>
        </w:rPr>
        <w:t>e)  se faire assister gratuitement d</w:t>
      </w:r>
      <w:r w:rsidR="002152BB" w:rsidRPr="002152BB">
        <w:rPr>
          <w:lang w:val="fr-FR"/>
        </w:rPr>
        <w:t>’</w:t>
      </w:r>
      <w:r w:rsidRPr="002152BB">
        <w:rPr>
          <w:lang w:val="fr-FR"/>
        </w:rPr>
        <w:t>un interprète, s</w:t>
      </w:r>
      <w:r w:rsidR="002152BB" w:rsidRPr="002152BB">
        <w:rPr>
          <w:lang w:val="fr-FR"/>
        </w:rPr>
        <w:t>’</w:t>
      </w:r>
      <w:r w:rsidRPr="002152BB">
        <w:rPr>
          <w:lang w:val="fr-FR"/>
        </w:rPr>
        <w:t>il ne comprend pas ou ne parle pas la langue employée à l</w:t>
      </w:r>
      <w:r w:rsidR="002152BB" w:rsidRPr="002152BB">
        <w:rPr>
          <w:lang w:val="fr-FR"/>
        </w:rPr>
        <w:t>’</w:t>
      </w:r>
      <w:r w:rsidRPr="002152BB">
        <w:rPr>
          <w:lang w:val="fr-FR"/>
        </w:rPr>
        <w:t>audience. »</w:t>
      </w:r>
    </w:p>
    <w:p w:rsidR="00E77CB3"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35</w:t>
      </w:r>
      <w:r w:rsidRPr="002152BB">
        <w:rPr>
          <w:lang w:val="fr-FR"/>
        </w:rPr>
        <w:fldChar w:fldCharType="end"/>
      </w:r>
      <w:r w:rsidR="00E77CB3" w:rsidRPr="002152BB">
        <w:rPr>
          <w:lang w:val="fr-FR"/>
        </w:rPr>
        <w:t>.  Le Gouvernement s</w:t>
      </w:r>
      <w:r w:rsidR="002152BB" w:rsidRPr="002152BB">
        <w:rPr>
          <w:lang w:val="fr-FR"/>
        </w:rPr>
        <w:t>’</w:t>
      </w:r>
      <w:r w:rsidR="00E77CB3" w:rsidRPr="002152BB">
        <w:rPr>
          <w:lang w:val="fr-FR"/>
        </w:rPr>
        <w:t>oppose à cette thèse.</w:t>
      </w:r>
    </w:p>
    <w:p w:rsidR="00E77CB3" w:rsidRPr="002152BB" w:rsidRDefault="00E77CB3" w:rsidP="002152BB">
      <w:pPr>
        <w:pStyle w:val="ECHRHeading2"/>
        <w:rPr>
          <w:lang w:val="fr-FR"/>
        </w:rPr>
      </w:pPr>
      <w:r w:rsidRPr="002152BB">
        <w:rPr>
          <w:lang w:val="fr-FR"/>
        </w:rPr>
        <w:lastRenderedPageBreak/>
        <w:t>A.  Sur la recevabilité</w:t>
      </w:r>
    </w:p>
    <w:p w:rsidR="00E77CB3" w:rsidRPr="002152BB" w:rsidRDefault="003A3D5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36</w:t>
      </w:r>
      <w:r w:rsidRPr="002152BB">
        <w:rPr>
          <w:lang w:val="fr-FR"/>
        </w:rPr>
        <w:fldChar w:fldCharType="end"/>
      </w:r>
      <w:r w:rsidRPr="002152BB">
        <w:rPr>
          <w:lang w:val="fr-FR"/>
        </w:rPr>
        <w:t>.  </w:t>
      </w:r>
      <w:r w:rsidR="00E77CB3" w:rsidRPr="002152BB">
        <w:rPr>
          <w:lang w:val="fr-FR"/>
        </w:rPr>
        <w:t xml:space="preserve">La Cour constate que </w:t>
      </w:r>
      <w:r w:rsidR="00852B47" w:rsidRPr="002152BB">
        <w:rPr>
          <w:lang w:val="fr-FR"/>
        </w:rPr>
        <w:t>la requête</w:t>
      </w:r>
      <w:r w:rsidR="00E77CB3" w:rsidRPr="002152BB">
        <w:rPr>
          <w:lang w:val="fr-FR"/>
        </w:rPr>
        <w:t xml:space="preserve"> n</w:t>
      </w:r>
      <w:r w:rsidR="002152BB" w:rsidRPr="002152BB">
        <w:rPr>
          <w:lang w:val="fr-FR"/>
        </w:rPr>
        <w:t>’</w:t>
      </w:r>
      <w:r w:rsidR="00E77CB3" w:rsidRPr="002152BB">
        <w:rPr>
          <w:lang w:val="fr-FR"/>
        </w:rPr>
        <w:t>est pas manifestement mal fondée au sens de l</w:t>
      </w:r>
      <w:r w:rsidR="002152BB" w:rsidRPr="002152BB">
        <w:rPr>
          <w:lang w:val="fr-FR"/>
        </w:rPr>
        <w:t>’</w:t>
      </w:r>
      <w:r w:rsidR="00E77CB3" w:rsidRPr="002152BB">
        <w:rPr>
          <w:lang w:val="fr-FR"/>
        </w:rPr>
        <w:t>article 35 § 3 a) de la Convention</w:t>
      </w:r>
      <w:r w:rsidR="00694A2E" w:rsidRPr="002152BB">
        <w:rPr>
          <w:lang w:val="fr-FR"/>
        </w:rPr>
        <w:t xml:space="preserve"> et qu</w:t>
      </w:r>
      <w:r w:rsidR="002152BB" w:rsidRPr="002152BB">
        <w:rPr>
          <w:lang w:val="fr-FR"/>
        </w:rPr>
        <w:t>’</w:t>
      </w:r>
      <w:r w:rsidR="00694A2E" w:rsidRPr="002152BB">
        <w:rPr>
          <w:lang w:val="fr-FR"/>
        </w:rPr>
        <w:t xml:space="preserve">elle ne se heurte par ailleurs </w:t>
      </w:r>
      <w:r w:rsidR="00E77CB3" w:rsidRPr="002152BB">
        <w:rPr>
          <w:lang w:val="fr-FR"/>
        </w:rPr>
        <w:t>à aucun autre motif d</w:t>
      </w:r>
      <w:r w:rsidR="002152BB" w:rsidRPr="002152BB">
        <w:rPr>
          <w:lang w:val="fr-FR"/>
        </w:rPr>
        <w:t>’</w:t>
      </w:r>
      <w:r w:rsidR="00E77CB3" w:rsidRPr="002152BB">
        <w:rPr>
          <w:lang w:val="fr-FR"/>
        </w:rPr>
        <w:t>irrecevabilité</w:t>
      </w:r>
      <w:r w:rsidR="00875AB3" w:rsidRPr="002152BB">
        <w:rPr>
          <w:lang w:val="fr-FR"/>
        </w:rPr>
        <w:t>. Elle</w:t>
      </w:r>
      <w:r w:rsidR="000F00EF" w:rsidRPr="002152BB">
        <w:rPr>
          <w:lang w:val="fr-FR"/>
        </w:rPr>
        <w:t xml:space="preserve"> la déclare </w:t>
      </w:r>
      <w:r w:rsidR="00875AB3" w:rsidRPr="002152BB">
        <w:rPr>
          <w:lang w:val="fr-FR"/>
        </w:rPr>
        <w:t xml:space="preserve">donc </w:t>
      </w:r>
      <w:r w:rsidR="000F00EF" w:rsidRPr="002152BB">
        <w:rPr>
          <w:lang w:val="fr-FR"/>
        </w:rPr>
        <w:t>recevable</w:t>
      </w:r>
      <w:r w:rsidR="00E77CB3" w:rsidRPr="002152BB">
        <w:rPr>
          <w:lang w:val="fr-FR"/>
        </w:rPr>
        <w:t>.</w:t>
      </w:r>
    </w:p>
    <w:p w:rsidR="00E77CB3" w:rsidRPr="002152BB" w:rsidRDefault="00E77CB3" w:rsidP="002152BB">
      <w:pPr>
        <w:pStyle w:val="ECHRHeading2"/>
        <w:rPr>
          <w:lang w:val="fr-FR"/>
        </w:rPr>
      </w:pPr>
      <w:r w:rsidRPr="002152BB">
        <w:rPr>
          <w:lang w:val="fr-FR"/>
        </w:rPr>
        <w:t>B.  Sur le fond</w:t>
      </w:r>
    </w:p>
    <w:p w:rsidR="00310038" w:rsidRPr="002152BB" w:rsidRDefault="00F903BA" w:rsidP="002152BB">
      <w:pPr>
        <w:pStyle w:val="ECHRHeading3"/>
        <w:rPr>
          <w:lang w:val="fr-FR"/>
        </w:rPr>
      </w:pPr>
      <w:r w:rsidRPr="002152BB">
        <w:rPr>
          <w:lang w:val="fr-FR"/>
        </w:rPr>
        <w:t>1.  </w:t>
      </w:r>
      <w:r w:rsidR="00826CF7" w:rsidRPr="002152BB">
        <w:rPr>
          <w:lang w:val="fr-FR"/>
        </w:rPr>
        <w:t>Arguments des parties</w:t>
      </w:r>
    </w:p>
    <w:p w:rsidR="00E77CB3"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37</w:t>
      </w:r>
      <w:r w:rsidRPr="002152BB">
        <w:rPr>
          <w:lang w:val="fr-FR"/>
        </w:rPr>
        <w:fldChar w:fldCharType="end"/>
      </w:r>
      <w:r w:rsidR="00E77CB3" w:rsidRPr="002152BB">
        <w:rPr>
          <w:lang w:val="fr-FR"/>
        </w:rPr>
        <w:t>.  </w:t>
      </w:r>
      <w:r w:rsidRPr="002152BB">
        <w:rPr>
          <w:lang w:val="fr-FR"/>
        </w:rPr>
        <w:t>Le requérant</w:t>
      </w:r>
      <w:r w:rsidR="00E77CB3" w:rsidRPr="002152BB">
        <w:rPr>
          <w:lang w:val="fr-FR"/>
        </w:rPr>
        <w:t xml:space="preserve"> </w:t>
      </w:r>
      <w:r w:rsidR="00B57499" w:rsidRPr="002152BB">
        <w:rPr>
          <w:lang w:val="fr-FR"/>
        </w:rPr>
        <w:t xml:space="preserve">a </w:t>
      </w:r>
      <w:r w:rsidR="00C9361E" w:rsidRPr="002152BB">
        <w:rPr>
          <w:lang w:val="fr-FR"/>
        </w:rPr>
        <w:t>exposé</w:t>
      </w:r>
      <w:r w:rsidR="00B57499" w:rsidRPr="002152BB">
        <w:rPr>
          <w:lang w:val="fr-FR"/>
        </w:rPr>
        <w:t xml:space="preserve"> ses arguments dans le formulaire de requête (paragraphe</w:t>
      </w:r>
      <w:r w:rsidR="00C9361E" w:rsidRPr="002152BB">
        <w:rPr>
          <w:lang w:val="fr-FR"/>
        </w:rPr>
        <w:t xml:space="preserve"> 5</w:t>
      </w:r>
      <w:r w:rsidR="00B57499" w:rsidRPr="002152BB">
        <w:rPr>
          <w:lang w:val="fr-FR"/>
        </w:rPr>
        <w:t xml:space="preserve"> ci-dessus). </w:t>
      </w:r>
      <w:r w:rsidR="00C9361E" w:rsidRPr="002152BB">
        <w:rPr>
          <w:lang w:val="fr-FR"/>
        </w:rPr>
        <w:t>Il souligne que les juridictions nationales ont reconnu qu</w:t>
      </w:r>
      <w:r w:rsidR="002152BB" w:rsidRPr="002152BB">
        <w:rPr>
          <w:lang w:val="fr-FR"/>
        </w:rPr>
        <w:t>’</w:t>
      </w:r>
      <w:r w:rsidR="00C9361E" w:rsidRPr="002152BB">
        <w:rPr>
          <w:lang w:val="fr-FR"/>
        </w:rPr>
        <w:t>il ne s</w:t>
      </w:r>
      <w:r w:rsidR="002152BB" w:rsidRPr="002152BB">
        <w:rPr>
          <w:lang w:val="fr-FR"/>
        </w:rPr>
        <w:t>’</w:t>
      </w:r>
      <w:r w:rsidR="00C9361E" w:rsidRPr="002152BB">
        <w:rPr>
          <w:lang w:val="fr-FR"/>
        </w:rPr>
        <w:t>était pas soustrait à la justice et qu</w:t>
      </w:r>
      <w:r w:rsidR="002152BB" w:rsidRPr="002152BB">
        <w:rPr>
          <w:lang w:val="fr-FR"/>
        </w:rPr>
        <w:t>’</w:t>
      </w:r>
      <w:r w:rsidR="00C9361E" w:rsidRPr="002152BB">
        <w:rPr>
          <w:lang w:val="fr-FR"/>
        </w:rPr>
        <w:t>il n</w:t>
      </w:r>
      <w:r w:rsidR="002152BB" w:rsidRPr="002152BB">
        <w:rPr>
          <w:lang w:val="fr-FR"/>
        </w:rPr>
        <w:t>’</w:t>
      </w:r>
      <w:r w:rsidR="00C9361E" w:rsidRPr="002152BB">
        <w:rPr>
          <w:lang w:val="fr-FR"/>
        </w:rPr>
        <w:t xml:space="preserve">avait pas renoncé à la faculté de comparaître. </w:t>
      </w:r>
      <w:r w:rsidR="00B57499" w:rsidRPr="002152BB">
        <w:rPr>
          <w:lang w:val="fr-FR"/>
        </w:rPr>
        <w:t xml:space="preserve">Il </w:t>
      </w:r>
      <w:r w:rsidR="00AF279F" w:rsidRPr="002152BB">
        <w:rPr>
          <w:lang w:val="fr-FR"/>
        </w:rPr>
        <w:t xml:space="preserve">allègue la violation de son droit à un </w:t>
      </w:r>
      <w:r w:rsidR="00C9361E" w:rsidRPr="002152BB">
        <w:rPr>
          <w:lang w:val="fr-FR"/>
        </w:rPr>
        <w:t>p</w:t>
      </w:r>
      <w:r w:rsidR="00AF279F" w:rsidRPr="002152BB">
        <w:rPr>
          <w:lang w:val="fr-FR"/>
        </w:rPr>
        <w:t>rocès équitable au motif qu</w:t>
      </w:r>
      <w:r w:rsidR="002152BB" w:rsidRPr="002152BB">
        <w:rPr>
          <w:lang w:val="fr-FR"/>
        </w:rPr>
        <w:t>’</w:t>
      </w:r>
      <w:r w:rsidR="00AF279F" w:rsidRPr="002152BB">
        <w:rPr>
          <w:lang w:val="fr-FR"/>
        </w:rPr>
        <w:t>il n</w:t>
      </w:r>
      <w:r w:rsidR="002152BB" w:rsidRPr="002152BB">
        <w:rPr>
          <w:lang w:val="fr-FR"/>
        </w:rPr>
        <w:t>’</w:t>
      </w:r>
      <w:r w:rsidR="00AF279F" w:rsidRPr="002152BB">
        <w:rPr>
          <w:lang w:val="fr-FR"/>
        </w:rPr>
        <w:t>a pas été informé des accusations portées contre lui et qu</w:t>
      </w:r>
      <w:r w:rsidR="002152BB" w:rsidRPr="002152BB">
        <w:rPr>
          <w:lang w:val="fr-FR"/>
        </w:rPr>
        <w:t>’</w:t>
      </w:r>
      <w:r w:rsidR="00AF279F" w:rsidRPr="002152BB">
        <w:rPr>
          <w:lang w:val="fr-FR"/>
        </w:rPr>
        <w:t>il n</w:t>
      </w:r>
      <w:r w:rsidR="002152BB" w:rsidRPr="002152BB">
        <w:rPr>
          <w:lang w:val="fr-FR"/>
        </w:rPr>
        <w:t>’</w:t>
      </w:r>
      <w:r w:rsidR="00C9361E" w:rsidRPr="002152BB">
        <w:rPr>
          <w:lang w:val="fr-FR"/>
        </w:rPr>
        <w:t>a</w:t>
      </w:r>
      <w:r w:rsidR="00AF279F" w:rsidRPr="002152BB">
        <w:rPr>
          <w:lang w:val="fr-FR"/>
        </w:rPr>
        <w:t xml:space="preserve"> pas été en mesure de se défendre en participant à la procédure. Il soutient que la défense assurée par l</w:t>
      </w:r>
      <w:r w:rsidR="002152BB" w:rsidRPr="002152BB">
        <w:rPr>
          <w:lang w:val="fr-FR"/>
        </w:rPr>
        <w:t>’</w:t>
      </w:r>
      <w:r w:rsidR="00AF279F" w:rsidRPr="002152BB">
        <w:rPr>
          <w:lang w:val="fr-FR"/>
        </w:rPr>
        <w:t>avocat commis d</w:t>
      </w:r>
      <w:r w:rsidR="002152BB" w:rsidRPr="002152BB">
        <w:rPr>
          <w:lang w:val="fr-FR"/>
        </w:rPr>
        <w:t>’</w:t>
      </w:r>
      <w:r w:rsidR="00AF279F" w:rsidRPr="002152BB">
        <w:rPr>
          <w:lang w:val="fr-FR"/>
        </w:rPr>
        <w:t>office ne saurait pas passer comme appropriée vu que celui-ci n</w:t>
      </w:r>
      <w:r w:rsidR="002152BB" w:rsidRPr="002152BB">
        <w:rPr>
          <w:lang w:val="fr-FR"/>
        </w:rPr>
        <w:t>’</w:t>
      </w:r>
      <w:r w:rsidR="00AF279F" w:rsidRPr="002152BB">
        <w:rPr>
          <w:lang w:val="fr-FR"/>
        </w:rPr>
        <w:t>a, entre autres, pas demandé l</w:t>
      </w:r>
      <w:r w:rsidR="002152BB" w:rsidRPr="002152BB">
        <w:rPr>
          <w:lang w:val="fr-FR"/>
        </w:rPr>
        <w:t>’</w:t>
      </w:r>
      <w:r w:rsidR="00AF279F" w:rsidRPr="002152BB">
        <w:rPr>
          <w:lang w:val="fr-FR"/>
        </w:rPr>
        <w:t>application de la procédure abrégée</w:t>
      </w:r>
      <w:r w:rsidR="00C9361E" w:rsidRPr="002152BB">
        <w:rPr>
          <w:lang w:val="fr-FR"/>
        </w:rPr>
        <w:t xml:space="preserve">, ce qui </w:t>
      </w:r>
      <w:r w:rsidR="00AF279F" w:rsidRPr="002152BB">
        <w:rPr>
          <w:lang w:val="fr-FR"/>
        </w:rPr>
        <w:t xml:space="preserve">aurait </w:t>
      </w:r>
      <w:r w:rsidR="00C9361E" w:rsidRPr="002152BB">
        <w:rPr>
          <w:lang w:val="fr-FR"/>
        </w:rPr>
        <w:t xml:space="preserve">pu </w:t>
      </w:r>
      <w:r w:rsidR="00AF279F" w:rsidRPr="002152BB">
        <w:rPr>
          <w:lang w:val="fr-FR"/>
        </w:rPr>
        <w:t>entraîn</w:t>
      </w:r>
      <w:r w:rsidR="00C9361E" w:rsidRPr="002152BB">
        <w:rPr>
          <w:lang w:val="fr-FR"/>
        </w:rPr>
        <w:t>er</w:t>
      </w:r>
      <w:r w:rsidR="00AF279F" w:rsidRPr="002152BB">
        <w:rPr>
          <w:lang w:val="fr-FR"/>
        </w:rPr>
        <w:t xml:space="preserve"> une </w:t>
      </w:r>
      <w:r w:rsidR="00C9361E" w:rsidRPr="002152BB">
        <w:rPr>
          <w:lang w:val="fr-FR"/>
        </w:rPr>
        <w:t xml:space="preserve">réduction </w:t>
      </w:r>
      <w:r w:rsidR="00AF279F" w:rsidRPr="002152BB">
        <w:rPr>
          <w:lang w:val="fr-FR"/>
        </w:rPr>
        <w:t>de la peine de</w:t>
      </w:r>
      <w:r w:rsidR="00B57499" w:rsidRPr="002152BB">
        <w:rPr>
          <w:lang w:val="fr-FR"/>
        </w:rPr>
        <w:t xml:space="preserve"> </w:t>
      </w:r>
      <w:r w:rsidR="00C9361E" w:rsidRPr="002152BB">
        <w:rPr>
          <w:lang w:val="fr-FR"/>
        </w:rPr>
        <w:t>neuf ans</w:t>
      </w:r>
      <w:r w:rsidR="00AF279F" w:rsidRPr="002152BB">
        <w:rPr>
          <w:lang w:val="fr-FR"/>
        </w:rPr>
        <w:t>. Par ailleurs, le requérant ne savait pas qu</w:t>
      </w:r>
      <w:r w:rsidR="002152BB" w:rsidRPr="002152BB">
        <w:rPr>
          <w:lang w:val="fr-FR"/>
        </w:rPr>
        <w:t>’</w:t>
      </w:r>
      <w:r w:rsidR="00AF279F" w:rsidRPr="002152BB">
        <w:rPr>
          <w:lang w:val="fr-FR"/>
        </w:rPr>
        <w:t>il était représenté par cet avocat, et il n</w:t>
      </w:r>
      <w:r w:rsidR="002152BB" w:rsidRPr="002152BB">
        <w:rPr>
          <w:lang w:val="fr-FR"/>
        </w:rPr>
        <w:t>’</w:t>
      </w:r>
      <w:r w:rsidR="00AF279F" w:rsidRPr="002152BB">
        <w:rPr>
          <w:lang w:val="fr-FR"/>
        </w:rPr>
        <w:t>a pu mandater un avocat de son choix.</w:t>
      </w:r>
    </w:p>
    <w:p w:rsidR="00310038"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38</w:t>
      </w:r>
      <w:r w:rsidRPr="002152BB">
        <w:rPr>
          <w:lang w:val="fr-FR"/>
        </w:rPr>
        <w:fldChar w:fldCharType="end"/>
      </w:r>
      <w:r w:rsidR="00E77CB3" w:rsidRPr="002152BB">
        <w:rPr>
          <w:lang w:val="fr-FR"/>
        </w:rPr>
        <w:t xml:space="preserve">.  Le Gouvernement </w:t>
      </w:r>
      <w:r w:rsidR="00826CF7" w:rsidRPr="002152BB">
        <w:rPr>
          <w:lang w:val="fr-FR"/>
        </w:rPr>
        <w:t>observe tout d</w:t>
      </w:r>
      <w:r w:rsidR="002152BB" w:rsidRPr="002152BB">
        <w:rPr>
          <w:lang w:val="fr-FR"/>
        </w:rPr>
        <w:t>’</w:t>
      </w:r>
      <w:r w:rsidR="00826CF7" w:rsidRPr="002152BB">
        <w:rPr>
          <w:lang w:val="fr-FR"/>
        </w:rPr>
        <w:t xml:space="preserve">abord que si les arrêts de la Cour constitutionnelle sont efficaces </w:t>
      </w:r>
      <w:r w:rsidR="00826CF7" w:rsidRPr="002152BB">
        <w:rPr>
          <w:i/>
          <w:lang w:val="fr-FR"/>
        </w:rPr>
        <w:t>ex tunc</w:t>
      </w:r>
      <w:r w:rsidR="00826CF7" w:rsidRPr="002152BB">
        <w:rPr>
          <w:lang w:val="fr-FR"/>
        </w:rPr>
        <w:t>, il</w:t>
      </w:r>
      <w:r w:rsidR="00B57499" w:rsidRPr="002152BB">
        <w:rPr>
          <w:lang w:val="fr-FR"/>
        </w:rPr>
        <w:t>s</w:t>
      </w:r>
      <w:r w:rsidR="00826CF7" w:rsidRPr="002152BB">
        <w:rPr>
          <w:lang w:val="fr-FR"/>
        </w:rPr>
        <w:t xml:space="preserve"> ne peuvent toutefois pas </w:t>
      </w:r>
      <w:r w:rsidR="00311C54" w:rsidRPr="002152BB">
        <w:rPr>
          <w:lang w:val="fr-FR"/>
        </w:rPr>
        <w:t xml:space="preserve">avoir un impact </w:t>
      </w:r>
      <w:r w:rsidR="00826CF7" w:rsidRPr="002152BB">
        <w:rPr>
          <w:lang w:val="fr-FR"/>
        </w:rPr>
        <w:t xml:space="preserve">sur des situations </w:t>
      </w:r>
      <w:r w:rsidR="006E79FB" w:rsidRPr="002152BB">
        <w:rPr>
          <w:lang w:val="fr-FR"/>
        </w:rPr>
        <w:t xml:space="preserve">qui sont déjà </w:t>
      </w:r>
      <w:r w:rsidR="00826CF7" w:rsidRPr="002152BB">
        <w:rPr>
          <w:lang w:val="fr-FR"/>
        </w:rPr>
        <w:t>définitives. En</w:t>
      </w:r>
      <w:r w:rsidR="00311C54" w:rsidRPr="002152BB">
        <w:rPr>
          <w:lang w:val="fr-FR"/>
        </w:rPr>
        <w:t>suite, il renvoie au raisonnement suivi par l</w:t>
      </w:r>
      <w:r w:rsidR="00DF6669" w:rsidRPr="002152BB">
        <w:rPr>
          <w:lang w:val="fr-FR"/>
        </w:rPr>
        <w:t xml:space="preserve">a Cour de cassation </w:t>
      </w:r>
      <w:r w:rsidR="00311C54" w:rsidRPr="002152BB">
        <w:rPr>
          <w:lang w:val="fr-FR"/>
        </w:rPr>
        <w:t>dans le cas d</w:t>
      </w:r>
      <w:r w:rsidR="002152BB" w:rsidRPr="002152BB">
        <w:rPr>
          <w:lang w:val="fr-FR"/>
        </w:rPr>
        <w:t>’</w:t>
      </w:r>
      <w:r w:rsidR="00311C54" w:rsidRPr="002152BB">
        <w:rPr>
          <w:lang w:val="fr-FR"/>
        </w:rPr>
        <w:t>espèce</w:t>
      </w:r>
      <w:r w:rsidR="00DF6669" w:rsidRPr="002152BB">
        <w:rPr>
          <w:lang w:val="fr-FR"/>
        </w:rPr>
        <w:t>. À cet égard, il rappelle que les sections réunies ont invoqué les principes de l</w:t>
      </w:r>
      <w:r w:rsidR="002152BB" w:rsidRPr="002152BB">
        <w:rPr>
          <w:lang w:val="fr-FR"/>
        </w:rPr>
        <w:t>’</w:t>
      </w:r>
      <w:r w:rsidR="00DF6669" w:rsidRPr="002152BB">
        <w:rPr>
          <w:lang w:val="fr-FR"/>
        </w:rPr>
        <w:t>unicité du droit d</w:t>
      </w:r>
      <w:r w:rsidR="002152BB" w:rsidRPr="002152BB">
        <w:rPr>
          <w:lang w:val="fr-FR"/>
        </w:rPr>
        <w:t>’</w:t>
      </w:r>
      <w:r w:rsidR="00DF6669" w:rsidRPr="002152BB">
        <w:rPr>
          <w:lang w:val="fr-FR"/>
        </w:rPr>
        <w:t xml:space="preserve">attaquer un jugement et du </w:t>
      </w:r>
      <w:r w:rsidR="00DF6669" w:rsidRPr="002152BB">
        <w:rPr>
          <w:i/>
          <w:lang w:val="fr-FR"/>
        </w:rPr>
        <w:t>ne bis in idem</w:t>
      </w:r>
      <w:r w:rsidR="00DF6669" w:rsidRPr="002152BB">
        <w:rPr>
          <w:lang w:val="fr-FR"/>
        </w:rPr>
        <w:t> et l</w:t>
      </w:r>
      <w:r w:rsidR="002152BB" w:rsidRPr="002152BB">
        <w:rPr>
          <w:lang w:val="fr-FR"/>
        </w:rPr>
        <w:t>’</w:t>
      </w:r>
      <w:r w:rsidR="00DF6669" w:rsidRPr="002152BB">
        <w:rPr>
          <w:lang w:val="fr-FR"/>
        </w:rPr>
        <w:t>exigence du respect du «</w:t>
      </w:r>
      <w:r w:rsidR="009265A4" w:rsidRPr="002152BB">
        <w:rPr>
          <w:lang w:val="fr-FR"/>
        </w:rPr>
        <w:t> </w:t>
      </w:r>
      <w:r w:rsidR="00DF6669" w:rsidRPr="002152BB">
        <w:rPr>
          <w:lang w:val="fr-FR"/>
        </w:rPr>
        <w:t>délai raisonnable » lorsque l</w:t>
      </w:r>
      <w:r w:rsidR="002152BB" w:rsidRPr="002152BB">
        <w:rPr>
          <w:lang w:val="fr-FR"/>
        </w:rPr>
        <w:t>’</w:t>
      </w:r>
      <w:r w:rsidR="00DF6669" w:rsidRPr="002152BB">
        <w:rPr>
          <w:lang w:val="fr-FR"/>
        </w:rPr>
        <w:t>accusé contumace, qui n</w:t>
      </w:r>
      <w:r w:rsidR="002152BB" w:rsidRPr="002152BB">
        <w:rPr>
          <w:lang w:val="fr-FR"/>
        </w:rPr>
        <w:t>’</w:t>
      </w:r>
      <w:r w:rsidR="00DF6669" w:rsidRPr="002152BB">
        <w:rPr>
          <w:lang w:val="fr-FR"/>
        </w:rPr>
        <w:t xml:space="preserve">a pas eu connaissance du procès, a été représenté par un avocat. En outre, </w:t>
      </w:r>
      <w:r w:rsidR="00311C54" w:rsidRPr="002152BB">
        <w:rPr>
          <w:lang w:val="fr-FR"/>
        </w:rPr>
        <w:t xml:space="preserve">le requérant aurait </w:t>
      </w:r>
      <w:r w:rsidR="001A35BA" w:rsidRPr="002152BB">
        <w:rPr>
          <w:lang w:val="fr-FR"/>
        </w:rPr>
        <w:t xml:space="preserve">pu demander </w:t>
      </w:r>
      <w:r w:rsidR="00DF6669" w:rsidRPr="002152BB">
        <w:rPr>
          <w:lang w:val="fr-FR"/>
        </w:rPr>
        <w:t>aux juridictions pénales</w:t>
      </w:r>
      <w:r w:rsidR="001A35BA" w:rsidRPr="002152BB">
        <w:rPr>
          <w:lang w:val="fr-FR"/>
        </w:rPr>
        <w:t xml:space="preserve"> de saisir la Cour constitutionnelle.</w:t>
      </w:r>
    </w:p>
    <w:p w:rsidR="00310038" w:rsidRPr="002152BB" w:rsidRDefault="00F903BA" w:rsidP="002152BB">
      <w:pPr>
        <w:pStyle w:val="ECHRHeading3"/>
        <w:rPr>
          <w:lang w:val="fr-FR"/>
        </w:rPr>
      </w:pPr>
      <w:r w:rsidRPr="002152BB">
        <w:rPr>
          <w:lang w:val="fr-FR"/>
        </w:rPr>
        <w:t>2.  </w:t>
      </w:r>
      <w:r w:rsidR="00826CF7" w:rsidRPr="002152BB">
        <w:rPr>
          <w:lang w:val="fr-FR"/>
        </w:rPr>
        <w:t>Appréciation de la Cour</w:t>
      </w:r>
    </w:p>
    <w:p w:rsidR="00E10F0C" w:rsidRPr="002152BB" w:rsidRDefault="00F903BA" w:rsidP="002152BB">
      <w:pPr>
        <w:pStyle w:val="ECHRHeading4"/>
        <w:rPr>
          <w:lang w:val="fr-FR"/>
        </w:rPr>
      </w:pPr>
      <w:r w:rsidRPr="002152BB">
        <w:rPr>
          <w:lang w:val="fr-FR"/>
        </w:rPr>
        <w:t>a)  </w:t>
      </w:r>
      <w:r w:rsidR="00E10F0C" w:rsidRPr="002152BB">
        <w:rPr>
          <w:lang w:val="fr-FR"/>
        </w:rPr>
        <w:t>Principes pertinents</w:t>
      </w:r>
    </w:p>
    <w:p w:rsidR="00310038"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39</w:t>
      </w:r>
      <w:r w:rsidRPr="002152BB">
        <w:rPr>
          <w:lang w:val="fr-FR"/>
        </w:rPr>
        <w:fldChar w:fldCharType="end"/>
      </w:r>
      <w:r w:rsidR="00E77CB3" w:rsidRPr="002152BB">
        <w:rPr>
          <w:lang w:val="fr-FR"/>
        </w:rPr>
        <w:t>.  </w:t>
      </w:r>
      <w:r w:rsidR="00AC22CC" w:rsidRPr="002152BB">
        <w:rPr>
          <w:lang w:val="fr-FR"/>
        </w:rPr>
        <w:t xml:space="preserve">La Cour </w:t>
      </w:r>
      <w:r w:rsidR="00B249B2" w:rsidRPr="002152BB">
        <w:rPr>
          <w:lang w:val="fr-FR"/>
        </w:rPr>
        <w:t xml:space="preserve">renvoie pour les </w:t>
      </w:r>
      <w:r w:rsidR="00AC22CC" w:rsidRPr="002152BB">
        <w:rPr>
          <w:lang w:val="fr-FR"/>
        </w:rPr>
        <w:t xml:space="preserve">principes pertinents en la matière </w:t>
      </w:r>
      <w:r w:rsidR="00B249B2" w:rsidRPr="002152BB">
        <w:rPr>
          <w:lang w:val="fr-FR"/>
        </w:rPr>
        <w:t>à</w:t>
      </w:r>
      <w:r w:rsidR="00AC22CC" w:rsidRPr="002152BB">
        <w:rPr>
          <w:lang w:val="fr-FR"/>
        </w:rPr>
        <w:t xml:space="preserve"> l</w:t>
      </w:r>
      <w:r w:rsidR="002152BB" w:rsidRPr="002152BB">
        <w:rPr>
          <w:lang w:val="fr-FR"/>
        </w:rPr>
        <w:t>’</w:t>
      </w:r>
      <w:r w:rsidR="00AC22CC" w:rsidRPr="002152BB">
        <w:rPr>
          <w:lang w:val="fr-FR"/>
        </w:rPr>
        <w:t xml:space="preserve">arrêt </w:t>
      </w:r>
      <w:r w:rsidR="00AC22CC" w:rsidRPr="002152BB">
        <w:rPr>
          <w:i/>
          <w:lang w:val="fr-FR"/>
        </w:rPr>
        <w:t xml:space="preserve">Sejdovic c. Italie </w:t>
      </w:r>
      <w:r w:rsidR="00AC22CC" w:rsidRPr="002152BB">
        <w:rPr>
          <w:lang w:val="fr-FR"/>
        </w:rPr>
        <w:t>[GC]</w:t>
      </w:r>
      <w:r w:rsidR="00B249B2" w:rsidRPr="002152BB">
        <w:rPr>
          <w:lang w:val="fr-FR"/>
        </w:rPr>
        <w:t xml:space="preserve"> (</w:t>
      </w:r>
      <w:r w:rsidR="00AC22CC" w:rsidRPr="002152BB">
        <w:rPr>
          <w:lang w:val="fr-FR"/>
        </w:rPr>
        <w:t>n</w:t>
      </w:r>
      <w:r w:rsidR="00FC42A7" w:rsidRPr="002152BB">
        <w:rPr>
          <w:vertAlign w:val="superscript"/>
          <w:lang w:val="fr-FR"/>
        </w:rPr>
        <w:t>o</w:t>
      </w:r>
      <w:r w:rsidR="00AC22CC" w:rsidRPr="002152BB">
        <w:rPr>
          <w:lang w:val="fr-FR"/>
        </w:rPr>
        <w:t xml:space="preserve"> 56581/00, §§ 8</w:t>
      </w:r>
      <w:r w:rsidR="00B249B2" w:rsidRPr="002152BB">
        <w:rPr>
          <w:lang w:val="fr-FR"/>
        </w:rPr>
        <w:t>1-95</w:t>
      </w:r>
      <w:r w:rsidR="00AC22CC" w:rsidRPr="002152BB">
        <w:rPr>
          <w:lang w:val="fr-FR"/>
        </w:rPr>
        <w:t>, CEDH 2006-II)</w:t>
      </w:r>
      <w:r w:rsidR="00B249B2" w:rsidRPr="002152BB">
        <w:rPr>
          <w:lang w:val="fr-FR"/>
        </w:rPr>
        <w:t xml:space="preserve"> et à la jurisprudence </w:t>
      </w:r>
      <w:r w:rsidR="00C408EE" w:rsidRPr="002152BB">
        <w:rPr>
          <w:lang w:val="fr-FR"/>
        </w:rPr>
        <w:t xml:space="preserve">qui y est </w:t>
      </w:r>
      <w:r w:rsidR="00B249B2" w:rsidRPr="002152BB">
        <w:rPr>
          <w:lang w:val="fr-FR"/>
        </w:rPr>
        <w:t>citée</w:t>
      </w:r>
      <w:r w:rsidR="00AC22CC" w:rsidRPr="002152BB">
        <w:rPr>
          <w:lang w:val="fr-FR"/>
        </w:rPr>
        <w:t>.</w:t>
      </w:r>
    </w:p>
    <w:p w:rsidR="00DF2566" w:rsidRPr="002152BB" w:rsidRDefault="00F903BA" w:rsidP="002152BB">
      <w:pPr>
        <w:pStyle w:val="ECHRHeading4"/>
        <w:rPr>
          <w:lang w:val="fr-FR"/>
        </w:rPr>
      </w:pPr>
      <w:r w:rsidRPr="002152BB">
        <w:rPr>
          <w:lang w:val="fr-FR"/>
        </w:rPr>
        <w:t>b)  </w:t>
      </w:r>
      <w:r w:rsidR="00DF2566" w:rsidRPr="002152BB">
        <w:rPr>
          <w:lang w:val="fr-FR"/>
        </w:rPr>
        <w:t>Application en l</w:t>
      </w:r>
      <w:r w:rsidR="002152BB" w:rsidRPr="002152BB">
        <w:rPr>
          <w:lang w:val="fr-FR"/>
        </w:rPr>
        <w:t>’</w:t>
      </w:r>
      <w:r w:rsidR="00DF2566" w:rsidRPr="002152BB">
        <w:rPr>
          <w:lang w:val="fr-FR"/>
        </w:rPr>
        <w:t>espèce</w:t>
      </w:r>
    </w:p>
    <w:p w:rsidR="006C71A4" w:rsidRPr="002152BB" w:rsidRDefault="006E79FB"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40</w:t>
      </w:r>
      <w:r w:rsidRPr="002152BB">
        <w:rPr>
          <w:lang w:val="fr-FR"/>
        </w:rPr>
        <w:fldChar w:fldCharType="end"/>
      </w:r>
      <w:r w:rsidRPr="002152BB">
        <w:rPr>
          <w:lang w:val="fr-FR"/>
        </w:rPr>
        <w:t>.  </w:t>
      </w:r>
      <w:r w:rsidR="00060DF0" w:rsidRPr="002152BB">
        <w:rPr>
          <w:lang w:val="fr-FR"/>
        </w:rPr>
        <w:t xml:space="preserve">La </w:t>
      </w:r>
      <w:r w:rsidR="003C397E" w:rsidRPr="002152BB">
        <w:rPr>
          <w:lang w:val="fr-FR"/>
        </w:rPr>
        <w:t>Cour note</w:t>
      </w:r>
      <w:r w:rsidR="002471C5" w:rsidRPr="002152BB">
        <w:rPr>
          <w:lang w:val="fr-FR"/>
        </w:rPr>
        <w:t xml:space="preserve"> </w:t>
      </w:r>
      <w:r w:rsidR="00060DF0" w:rsidRPr="002152BB">
        <w:rPr>
          <w:lang w:val="fr-FR"/>
        </w:rPr>
        <w:t>qu</w:t>
      </w:r>
      <w:r w:rsidR="00014022" w:rsidRPr="002152BB">
        <w:rPr>
          <w:lang w:val="fr-FR"/>
        </w:rPr>
        <w:t xml:space="preserve">e le 21 juillet 2001, le </w:t>
      </w:r>
      <w:r w:rsidR="006C71A4" w:rsidRPr="002152BB">
        <w:rPr>
          <w:lang w:val="fr-FR"/>
        </w:rPr>
        <w:t xml:space="preserve">juge </w:t>
      </w:r>
      <w:r w:rsidR="00014022" w:rsidRPr="002152BB">
        <w:rPr>
          <w:lang w:val="fr-FR"/>
        </w:rPr>
        <w:t xml:space="preserve">des investigations préliminaires de Rome </w:t>
      </w:r>
      <w:r w:rsidR="006C71A4" w:rsidRPr="002152BB">
        <w:rPr>
          <w:lang w:val="fr-FR"/>
        </w:rPr>
        <w:t xml:space="preserve">a ordonné le </w:t>
      </w:r>
      <w:r w:rsidR="00014022" w:rsidRPr="002152BB">
        <w:rPr>
          <w:lang w:val="fr-FR"/>
        </w:rPr>
        <w:t>placement</w:t>
      </w:r>
      <w:r w:rsidR="006C71A4" w:rsidRPr="002152BB">
        <w:rPr>
          <w:lang w:val="fr-FR"/>
        </w:rPr>
        <w:t xml:space="preserve"> en détention du requérant. </w:t>
      </w:r>
      <w:r w:rsidR="002471C5" w:rsidRPr="002152BB">
        <w:rPr>
          <w:lang w:val="fr-FR"/>
        </w:rPr>
        <w:t>Étant</w:t>
      </w:r>
      <w:r w:rsidR="006C71A4" w:rsidRPr="002152BB">
        <w:rPr>
          <w:lang w:val="fr-FR"/>
        </w:rPr>
        <w:t xml:space="preserve"> donné que </w:t>
      </w:r>
      <w:r w:rsidRPr="002152BB">
        <w:rPr>
          <w:lang w:val="fr-FR"/>
        </w:rPr>
        <w:t>l</w:t>
      </w:r>
      <w:r w:rsidR="002152BB" w:rsidRPr="002152BB">
        <w:rPr>
          <w:lang w:val="fr-FR"/>
        </w:rPr>
        <w:t>’</w:t>
      </w:r>
      <w:r w:rsidRPr="002152BB">
        <w:rPr>
          <w:lang w:val="fr-FR"/>
        </w:rPr>
        <w:t>intéressé</w:t>
      </w:r>
      <w:r w:rsidR="006C71A4" w:rsidRPr="002152BB">
        <w:rPr>
          <w:lang w:val="fr-FR"/>
        </w:rPr>
        <w:t xml:space="preserve"> était devenu introuvable, il a été déclaré en fuite </w:t>
      </w:r>
      <w:r w:rsidR="00014022" w:rsidRPr="002152BB">
        <w:rPr>
          <w:lang w:val="fr-FR"/>
        </w:rPr>
        <w:lastRenderedPageBreak/>
        <w:t>le 27 juillet 2001. U</w:t>
      </w:r>
      <w:r w:rsidR="006C71A4" w:rsidRPr="002152BB">
        <w:rPr>
          <w:lang w:val="fr-FR"/>
        </w:rPr>
        <w:t>n avoca</w:t>
      </w:r>
      <w:r w:rsidR="00014022" w:rsidRPr="002152BB">
        <w:rPr>
          <w:lang w:val="fr-FR"/>
        </w:rPr>
        <w:t>t</w:t>
      </w:r>
      <w:r w:rsidR="006C71A4" w:rsidRPr="002152BB">
        <w:rPr>
          <w:lang w:val="fr-FR"/>
        </w:rPr>
        <w:t xml:space="preserve"> d</w:t>
      </w:r>
      <w:r w:rsidR="002152BB" w:rsidRPr="002152BB">
        <w:rPr>
          <w:lang w:val="fr-FR"/>
        </w:rPr>
        <w:t>’</w:t>
      </w:r>
      <w:r w:rsidR="006C71A4" w:rsidRPr="002152BB">
        <w:rPr>
          <w:lang w:val="fr-FR"/>
        </w:rPr>
        <w:t xml:space="preserve">office </w:t>
      </w:r>
      <w:r w:rsidR="00014022" w:rsidRPr="002152BB">
        <w:rPr>
          <w:lang w:val="fr-FR"/>
        </w:rPr>
        <w:t xml:space="preserve">a été </w:t>
      </w:r>
      <w:r w:rsidR="006C71A4" w:rsidRPr="002152BB">
        <w:rPr>
          <w:lang w:val="fr-FR"/>
        </w:rPr>
        <w:t>nommé pour rep</w:t>
      </w:r>
      <w:r w:rsidR="00014022" w:rsidRPr="002152BB">
        <w:rPr>
          <w:lang w:val="fr-FR"/>
        </w:rPr>
        <w:t xml:space="preserve">résenter </w:t>
      </w:r>
      <w:r w:rsidR="006C71A4" w:rsidRPr="002152BB">
        <w:rPr>
          <w:lang w:val="fr-FR"/>
        </w:rPr>
        <w:t>le requérant et les actes de procédure, y compris l</w:t>
      </w:r>
      <w:r w:rsidR="002152BB" w:rsidRPr="002152BB">
        <w:rPr>
          <w:lang w:val="fr-FR"/>
        </w:rPr>
        <w:t>’</w:t>
      </w:r>
      <w:r w:rsidR="006C71A4" w:rsidRPr="002152BB">
        <w:rPr>
          <w:lang w:val="fr-FR"/>
        </w:rPr>
        <w:t>arrêt de condamnation</w:t>
      </w:r>
      <w:r w:rsidR="00014022" w:rsidRPr="002152BB">
        <w:rPr>
          <w:lang w:val="fr-FR"/>
        </w:rPr>
        <w:t>, furent notifiés à cet avocat.</w:t>
      </w:r>
    </w:p>
    <w:p w:rsidR="008719D5" w:rsidRPr="002152BB" w:rsidRDefault="00014022"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41</w:t>
      </w:r>
      <w:r w:rsidRPr="002152BB">
        <w:rPr>
          <w:lang w:val="fr-FR"/>
        </w:rPr>
        <w:fldChar w:fldCharType="end"/>
      </w:r>
      <w:r w:rsidRPr="002152BB">
        <w:rPr>
          <w:lang w:val="fr-FR"/>
        </w:rPr>
        <w:t>.  </w:t>
      </w:r>
      <w:r w:rsidR="008719D5" w:rsidRPr="002152BB">
        <w:rPr>
          <w:lang w:val="fr-FR"/>
        </w:rPr>
        <w:t>Les juridictions nationales ont établi que le requérant n</w:t>
      </w:r>
      <w:r w:rsidR="002152BB" w:rsidRPr="002152BB">
        <w:rPr>
          <w:lang w:val="fr-FR"/>
        </w:rPr>
        <w:t>’</w:t>
      </w:r>
      <w:r w:rsidR="008719D5" w:rsidRPr="002152BB">
        <w:rPr>
          <w:lang w:val="fr-FR"/>
        </w:rPr>
        <w:t>a pas renoncé à son droit de comparaître et qu</w:t>
      </w:r>
      <w:r w:rsidR="002152BB" w:rsidRPr="002152BB">
        <w:rPr>
          <w:lang w:val="fr-FR"/>
        </w:rPr>
        <w:t>’</w:t>
      </w:r>
      <w:r w:rsidR="008719D5" w:rsidRPr="002152BB">
        <w:rPr>
          <w:lang w:val="fr-FR"/>
        </w:rPr>
        <w:t>il n</w:t>
      </w:r>
      <w:r w:rsidR="002152BB" w:rsidRPr="002152BB">
        <w:rPr>
          <w:lang w:val="fr-FR"/>
        </w:rPr>
        <w:t>’</w:t>
      </w:r>
      <w:r w:rsidR="008719D5" w:rsidRPr="002152BB">
        <w:rPr>
          <w:lang w:val="fr-FR"/>
        </w:rPr>
        <w:t>a pas été informé des accusations portées à son encontre. Ces éléments ressortent de la décision de la cour d</w:t>
      </w:r>
      <w:r w:rsidR="002152BB" w:rsidRPr="002152BB">
        <w:rPr>
          <w:lang w:val="fr-FR"/>
        </w:rPr>
        <w:t>’</w:t>
      </w:r>
      <w:r w:rsidR="008719D5" w:rsidRPr="002152BB">
        <w:rPr>
          <w:lang w:val="fr-FR"/>
        </w:rPr>
        <w:t>assises d</w:t>
      </w:r>
      <w:r w:rsidR="002152BB" w:rsidRPr="002152BB">
        <w:rPr>
          <w:lang w:val="fr-FR"/>
        </w:rPr>
        <w:t>’</w:t>
      </w:r>
      <w:r w:rsidR="008719D5" w:rsidRPr="002152BB">
        <w:rPr>
          <w:lang w:val="fr-FR"/>
        </w:rPr>
        <w:t xml:space="preserve">appel de Rome du 12 avril 2007, qui avait accordé au requérant la possibilité de </w:t>
      </w:r>
      <w:r w:rsidR="004E5E9F" w:rsidRPr="002152BB">
        <w:rPr>
          <w:lang w:val="fr-FR"/>
        </w:rPr>
        <w:t>se pourvoir</w:t>
      </w:r>
      <w:r w:rsidR="008719D5" w:rsidRPr="002152BB">
        <w:rPr>
          <w:lang w:val="fr-FR"/>
        </w:rPr>
        <w:t xml:space="preserve"> en ca</w:t>
      </w:r>
      <w:r w:rsidR="002471C5" w:rsidRPr="002152BB">
        <w:rPr>
          <w:lang w:val="fr-FR"/>
        </w:rPr>
        <w:t>ssation contre sa condamnation.</w:t>
      </w:r>
    </w:p>
    <w:p w:rsidR="00763E33" w:rsidRPr="002152BB" w:rsidRDefault="008719D5"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42</w:t>
      </w:r>
      <w:r w:rsidRPr="002152BB">
        <w:rPr>
          <w:lang w:val="fr-FR"/>
        </w:rPr>
        <w:fldChar w:fldCharType="end"/>
      </w:r>
      <w:r w:rsidRPr="002152BB">
        <w:rPr>
          <w:lang w:val="fr-FR"/>
        </w:rPr>
        <w:t>.  </w:t>
      </w:r>
      <w:r w:rsidR="006C71A4" w:rsidRPr="002152BB">
        <w:rPr>
          <w:lang w:val="fr-FR"/>
        </w:rPr>
        <w:t xml:space="preserve">Le Gouvernement ne </w:t>
      </w:r>
      <w:r w:rsidR="00014022" w:rsidRPr="002152BB">
        <w:rPr>
          <w:lang w:val="fr-FR"/>
        </w:rPr>
        <w:t>conteste</w:t>
      </w:r>
      <w:r w:rsidR="006C71A4" w:rsidRPr="002152BB">
        <w:rPr>
          <w:lang w:val="fr-FR"/>
        </w:rPr>
        <w:t xml:space="preserve"> pas que le requérant a été jugé par contumace et qu</w:t>
      </w:r>
      <w:r w:rsidR="002152BB" w:rsidRPr="002152BB">
        <w:rPr>
          <w:lang w:val="fr-FR"/>
        </w:rPr>
        <w:t>’</w:t>
      </w:r>
      <w:r w:rsidR="006C71A4" w:rsidRPr="002152BB">
        <w:rPr>
          <w:lang w:val="fr-FR"/>
        </w:rPr>
        <w:t>avant son arrestation</w:t>
      </w:r>
      <w:r w:rsidR="006E79FB" w:rsidRPr="002152BB">
        <w:rPr>
          <w:lang w:val="fr-FR"/>
        </w:rPr>
        <w:t>,</w:t>
      </w:r>
      <w:r w:rsidR="006C71A4" w:rsidRPr="002152BB">
        <w:rPr>
          <w:lang w:val="fr-FR"/>
        </w:rPr>
        <w:t xml:space="preserve"> il n</w:t>
      </w:r>
      <w:r w:rsidR="002152BB" w:rsidRPr="002152BB">
        <w:rPr>
          <w:lang w:val="fr-FR"/>
        </w:rPr>
        <w:t>’</w:t>
      </w:r>
      <w:r w:rsidR="006C71A4" w:rsidRPr="002152BB">
        <w:rPr>
          <w:lang w:val="fr-FR"/>
        </w:rPr>
        <w:t>avait reçu aucune information officielle quant aux accusations ou</w:t>
      </w:r>
      <w:r w:rsidR="00014022" w:rsidRPr="002152BB">
        <w:rPr>
          <w:lang w:val="fr-FR"/>
        </w:rPr>
        <w:t xml:space="preserve"> quant</w:t>
      </w:r>
      <w:r w:rsidR="006C71A4" w:rsidRPr="002152BB">
        <w:rPr>
          <w:lang w:val="fr-FR"/>
        </w:rPr>
        <w:t xml:space="preserve"> à la date de son procès.</w:t>
      </w:r>
    </w:p>
    <w:p w:rsidR="00BA4D9F" w:rsidRPr="002152BB" w:rsidRDefault="008719D5"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43</w:t>
      </w:r>
      <w:r w:rsidRPr="002152BB">
        <w:rPr>
          <w:lang w:val="fr-FR"/>
        </w:rPr>
        <w:fldChar w:fldCharType="end"/>
      </w:r>
      <w:r w:rsidRPr="002152BB">
        <w:rPr>
          <w:lang w:val="fr-FR"/>
        </w:rPr>
        <w:t>.  Pour la Cour, i</w:t>
      </w:r>
      <w:r w:rsidR="00BA4D9F" w:rsidRPr="002152BB">
        <w:rPr>
          <w:lang w:val="fr-FR"/>
        </w:rPr>
        <w:t>l est dès lors établi que le requérant n</w:t>
      </w:r>
      <w:r w:rsidR="002152BB" w:rsidRPr="002152BB">
        <w:rPr>
          <w:lang w:val="fr-FR"/>
        </w:rPr>
        <w:t>’</w:t>
      </w:r>
      <w:r w:rsidR="00BA4D9F" w:rsidRPr="002152BB">
        <w:rPr>
          <w:lang w:val="fr-FR"/>
        </w:rPr>
        <w:t>a pas eu connaissance effective du procès</w:t>
      </w:r>
      <w:r w:rsidR="004E5E9F" w:rsidRPr="002152BB">
        <w:rPr>
          <w:lang w:val="fr-FR"/>
        </w:rPr>
        <w:t>. R</w:t>
      </w:r>
      <w:r w:rsidR="00BA4D9F" w:rsidRPr="002152BB">
        <w:rPr>
          <w:lang w:val="fr-FR"/>
        </w:rPr>
        <w:t>ien dans le dossier n</w:t>
      </w:r>
      <w:r w:rsidR="004E5E9F" w:rsidRPr="002152BB">
        <w:rPr>
          <w:lang w:val="fr-FR"/>
        </w:rPr>
        <w:t xml:space="preserve">e permet par ailleurs </w:t>
      </w:r>
      <w:r w:rsidR="00BA4D9F" w:rsidRPr="002152BB">
        <w:rPr>
          <w:lang w:val="fr-FR"/>
        </w:rPr>
        <w:t>de conclure qu</w:t>
      </w:r>
      <w:r w:rsidR="002152BB" w:rsidRPr="002152BB">
        <w:rPr>
          <w:lang w:val="fr-FR"/>
        </w:rPr>
        <w:t>’</w:t>
      </w:r>
      <w:r w:rsidR="00BA4D9F" w:rsidRPr="002152BB">
        <w:rPr>
          <w:lang w:val="fr-FR"/>
        </w:rPr>
        <w:t>il s</w:t>
      </w:r>
      <w:r w:rsidR="002152BB" w:rsidRPr="002152BB">
        <w:rPr>
          <w:lang w:val="fr-FR"/>
        </w:rPr>
        <w:t>’</w:t>
      </w:r>
      <w:r w:rsidR="00BA4D9F" w:rsidRPr="002152BB">
        <w:rPr>
          <w:lang w:val="fr-FR"/>
        </w:rPr>
        <w:t>était soustrait à la justice ou qu</w:t>
      </w:r>
      <w:r w:rsidR="002152BB" w:rsidRPr="002152BB">
        <w:rPr>
          <w:lang w:val="fr-FR"/>
        </w:rPr>
        <w:t>’</w:t>
      </w:r>
      <w:r w:rsidR="00BA4D9F" w:rsidRPr="002152BB">
        <w:rPr>
          <w:lang w:val="fr-FR"/>
        </w:rPr>
        <w:t xml:space="preserve">il avait renoncé </w:t>
      </w:r>
      <w:r w:rsidR="004E5E9F" w:rsidRPr="002152BB">
        <w:rPr>
          <w:lang w:val="fr-FR"/>
        </w:rPr>
        <w:t xml:space="preserve">de manière non équivoque </w:t>
      </w:r>
      <w:r w:rsidR="00BA4D9F" w:rsidRPr="002152BB">
        <w:rPr>
          <w:lang w:val="fr-FR"/>
        </w:rPr>
        <w:t>à la f</w:t>
      </w:r>
      <w:r w:rsidR="002471C5" w:rsidRPr="002152BB">
        <w:rPr>
          <w:lang w:val="fr-FR"/>
        </w:rPr>
        <w:t>aculté de participer au procès.</w:t>
      </w:r>
    </w:p>
    <w:p w:rsidR="00310038" w:rsidRPr="002152BB" w:rsidRDefault="008719D5"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44</w:t>
      </w:r>
      <w:r w:rsidRPr="002152BB">
        <w:rPr>
          <w:lang w:val="fr-FR"/>
        </w:rPr>
        <w:fldChar w:fldCharType="end"/>
      </w:r>
      <w:r w:rsidRPr="002152BB">
        <w:rPr>
          <w:lang w:val="fr-FR"/>
        </w:rPr>
        <w:t>.  </w:t>
      </w:r>
      <w:r w:rsidR="00BD79DC" w:rsidRPr="002152BB">
        <w:rPr>
          <w:lang w:val="fr-FR"/>
        </w:rPr>
        <w:t>La Cour rappelle que si une procédure se déroulant en l</w:t>
      </w:r>
      <w:r w:rsidR="002152BB" w:rsidRPr="002152BB">
        <w:rPr>
          <w:lang w:val="fr-FR"/>
        </w:rPr>
        <w:t>’</w:t>
      </w:r>
      <w:r w:rsidR="00BD79DC" w:rsidRPr="002152BB">
        <w:rPr>
          <w:lang w:val="fr-FR"/>
        </w:rPr>
        <w:t>absence du prévenu n</w:t>
      </w:r>
      <w:r w:rsidR="002152BB" w:rsidRPr="002152BB">
        <w:rPr>
          <w:lang w:val="fr-FR"/>
        </w:rPr>
        <w:t>’</w:t>
      </w:r>
      <w:r w:rsidR="00BD79DC" w:rsidRPr="002152BB">
        <w:rPr>
          <w:lang w:val="fr-FR"/>
        </w:rPr>
        <w:t>est pas en soi incompatible avec l</w:t>
      </w:r>
      <w:r w:rsidR="002152BB" w:rsidRPr="002152BB">
        <w:rPr>
          <w:lang w:val="fr-FR"/>
        </w:rPr>
        <w:t>’</w:t>
      </w:r>
      <w:r w:rsidR="00BD79DC" w:rsidRPr="002152BB">
        <w:rPr>
          <w:lang w:val="fr-FR"/>
        </w:rPr>
        <w:t>article 6 de la Convention, il demeure néanmoins qu</w:t>
      </w:r>
      <w:r w:rsidR="002152BB" w:rsidRPr="002152BB">
        <w:rPr>
          <w:lang w:val="fr-FR"/>
        </w:rPr>
        <w:t>’</w:t>
      </w:r>
      <w:r w:rsidR="00BD79DC" w:rsidRPr="002152BB">
        <w:rPr>
          <w:lang w:val="fr-FR"/>
        </w:rPr>
        <w:t>un déni de justice est constitué lorsqu</w:t>
      </w:r>
      <w:r w:rsidR="002152BB" w:rsidRPr="002152BB">
        <w:rPr>
          <w:lang w:val="fr-FR"/>
        </w:rPr>
        <w:t>’</w:t>
      </w:r>
      <w:r w:rsidR="00BD79DC" w:rsidRPr="002152BB">
        <w:rPr>
          <w:lang w:val="fr-FR"/>
        </w:rPr>
        <w:t xml:space="preserve">un individu condamné </w:t>
      </w:r>
      <w:r w:rsidR="00BD79DC" w:rsidRPr="002152BB">
        <w:rPr>
          <w:i/>
          <w:lang w:val="fr-FR"/>
        </w:rPr>
        <w:t>in absentia</w:t>
      </w:r>
      <w:r w:rsidR="00BD79DC" w:rsidRPr="002152BB">
        <w:rPr>
          <w:lang w:val="fr-FR"/>
        </w:rPr>
        <w:t xml:space="preserve"> ne peut obtenir ultérieurement qu</w:t>
      </w:r>
      <w:r w:rsidR="002152BB" w:rsidRPr="002152BB">
        <w:rPr>
          <w:lang w:val="fr-FR"/>
        </w:rPr>
        <w:t>’</w:t>
      </w:r>
      <w:r w:rsidR="00BD79DC" w:rsidRPr="002152BB">
        <w:rPr>
          <w:lang w:val="fr-FR"/>
        </w:rPr>
        <w:t>une juridiction statue à nouveau, après l</w:t>
      </w:r>
      <w:r w:rsidR="002152BB" w:rsidRPr="002152BB">
        <w:rPr>
          <w:lang w:val="fr-FR"/>
        </w:rPr>
        <w:t>’</w:t>
      </w:r>
      <w:r w:rsidR="00BD79DC" w:rsidRPr="002152BB">
        <w:rPr>
          <w:lang w:val="fr-FR"/>
        </w:rPr>
        <w:t>avoir entendu, sur le bien-fondé de l</w:t>
      </w:r>
      <w:r w:rsidR="002152BB" w:rsidRPr="002152BB">
        <w:rPr>
          <w:lang w:val="fr-FR"/>
        </w:rPr>
        <w:t>’</w:t>
      </w:r>
      <w:r w:rsidR="00BD79DC" w:rsidRPr="002152BB">
        <w:rPr>
          <w:lang w:val="fr-FR"/>
        </w:rPr>
        <w:t>accusation en fait comme en droit, alors qu</w:t>
      </w:r>
      <w:r w:rsidR="002152BB" w:rsidRPr="002152BB">
        <w:rPr>
          <w:lang w:val="fr-FR"/>
        </w:rPr>
        <w:t>’</w:t>
      </w:r>
      <w:r w:rsidR="00BD79DC" w:rsidRPr="002152BB">
        <w:rPr>
          <w:lang w:val="fr-FR"/>
        </w:rPr>
        <w:t>il n</w:t>
      </w:r>
      <w:r w:rsidR="002152BB" w:rsidRPr="002152BB">
        <w:rPr>
          <w:lang w:val="fr-FR"/>
        </w:rPr>
        <w:t>’</w:t>
      </w:r>
      <w:r w:rsidR="00BD79DC" w:rsidRPr="002152BB">
        <w:rPr>
          <w:lang w:val="fr-FR"/>
        </w:rPr>
        <w:t>est pas établi qu</w:t>
      </w:r>
      <w:r w:rsidR="002152BB" w:rsidRPr="002152BB">
        <w:rPr>
          <w:lang w:val="fr-FR"/>
        </w:rPr>
        <w:t>’</w:t>
      </w:r>
      <w:r w:rsidR="00BD79DC" w:rsidRPr="002152BB">
        <w:rPr>
          <w:lang w:val="fr-FR"/>
        </w:rPr>
        <w:t>il a renoncé à son droit de comparaître et de se défendre (</w:t>
      </w:r>
      <w:r w:rsidR="00BD79DC" w:rsidRPr="002152BB">
        <w:rPr>
          <w:i/>
          <w:lang w:val="fr-FR"/>
        </w:rPr>
        <w:t>Colozza c. Italie</w:t>
      </w:r>
      <w:r w:rsidR="00BD79DC" w:rsidRPr="002152BB">
        <w:rPr>
          <w:lang w:val="fr-FR"/>
        </w:rPr>
        <w:t>, 12 févri</w:t>
      </w:r>
      <w:r w:rsidR="002471C5" w:rsidRPr="002152BB">
        <w:rPr>
          <w:lang w:val="fr-FR"/>
        </w:rPr>
        <w:t>er 1985, § 29, série </w:t>
      </w:r>
      <w:r w:rsidR="00BD79DC" w:rsidRPr="002152BB">
        <w:rPr>
          <w:lang w:val="fr-FR"/>
        </w:rPr>
        <w:t>A n</w:t>
      </w:r>
      <w:r w:rsidR="00FC42A7" w:rsidRPr="002152BB">
        <w:rPr>
          <w:vertAlign w:val="superscript"/>
          <w:lang w:val="fr-FR"/>
        </w:rPr>
        <w:t>o</w:t>
      </w:r>
      <w:r w:rsidR="00BD79DC" w:rsidRPr="002152BB">
        <w:rPr>
          <w:lang w:val="fr-FR"/>
        </w:rPr>
        <w:t xml:space="preserve"> 89 ; </w:t>
      </w:r>
      <w:r w:rsidR="00BD79DC" w:rsidRPr="002152BB">
        <w:rPr>
          <w:i/>
          <w:lang w:val="fr-FR"/>
        </w:rPr>
        <w:t>Einhorn c. France</w:t>
      </w:r>
      <w:r w:rsidR="00BD79DC" w:rsidRPr="002152BB">
        <w:rPr>
          <w:lang w:val="fr-FR"/>
        </w:rPr>
        <w:t xml:space="preserve"> (déc.), n</w:t>
      </w:r>
      <w:r w:rsidR="00FC42A7" w:rsidRPr="002152BB">
        <w:rPr>
          <w:vertAlign w:val="superscript"/>
          <w:lang w:val="fr-FR"/>
        </w:rPr>
        <w:t>o</w:t>
      </w:r>
      <w:r w:rsidR="00BD79DC" w:rsidRPr="002152BB">
        <w:rPr>
          <w:lang w:val="fr-FR"/>
        </w:rPr>
        <w:t xml:space="preserve"> 71555/01, § 33, CEDH</w:t>
      </w:r>
      <w:r w:rsidR="002471C5" w:rsidRPr="002152BB">
        <w:rPr>
          <w:lang w:val="fr-FR"/>
        </w:rPr>
        <w:t> </w:t>
      </w:r>
      <w:r w:rsidR="00BD79DC" w:rsidRPr="002152BB">
        <w:rPr>
          <w:lang w:val="fr-FR"/>
        </w:rPr>
        <w:t>2001</w:t>
      </w:r>
      <w:r w:rsidR="00BD79DC" w:rsidRPr="002152BB">
        <w:rPr>
          <w:lang w:val="fr-FR"/>
        </w:rPr>
        <w:noBreakHyphen/>
        <w:t>XI</w:t>
      </w:r>
      <w:r w:rsidR="002471C5" w:rsidRPr="002152BB">
        <w:rPr>
          <w:lang w:val="fr-FR"/>
        </w:rPr>
        <w:t> </w:t>
      </w:r>
      <w:r w:rsidR="00BD79DC" w:rsidRPr="002152BB">
        <w:rPr>
          <w:lang w:val="fr-FR"/>
        </w:rPr>
        <w:t xml:space="preserve">; </w:t>
      </w:r>
      <w:r w:rsidR="00BD79DC" w:rsidRPr="002152BB">
        <w:rPr>
          <w:i/>
          <w:lang w:val="fr-FR"/>
        </w:rPr>
        <w:t>Krombach c. France</w:t>
      </w:r>
      <w:r w:rsidR="00BD79DC" w:rsidRPr="002152BB">
        <w:rPr>
          <w:lang w:val="fr-FR"/>
        </w:rPr>
        <w:t>, n</w:t>
      </w:r>
      <w:r w:rsidR="00FC42A7" w:rsidRPr="002152BB">
        <w:rPr>
          <w:vertAlign w:val="superscript"/>
          <w:lang w:val="fr-FR"/>
        </w:rPr>
        <w:t>o</w:t>
      </w:r>
      <w:r w:rsidR="00BD79DC" w:rsidRPr="002152BB">
        <w:rPr>
          <w:lang w:val="fr-FR"/>
        </w:rPr>
        <w:t xml:space="preserve"> 29731/96, § 85, CEDH 2001-II, et </w:t>
      </w:r>
      <w:r w:rsidR="00BD79DC" w:rsidRPr="002152BB">
        <w:rPr>
          <w:i/>
          <w:lang w:val="fr-FR"/>
        </w:rPr>
        <w:t>Somogyi c. Italie</w:t>
      </w:r>
      <w:r w:rsidR="00BD79DC" w:rsidRPr="002152BB">
        <w:rPr>
          <w:lang w:val="fr-FR"/>
        </w:rPr>
        <w:t>, n</w:t>
      </w:r>
      <w:r w:rsidR="00FC42A7" w:rsidRPr="002152BB">
        <w:rPr>
          <w:vertAlign w:val="superscript"/>
          <w:lang w:val="fr-FR"/>
        </w:rPr>
        <w:t>o</w:t>
      </w:r>
      <w:r w:rsidR="00BD79DC" w:rsidRPr="002152BB">
        <w:rPr>
          <w:lang w:val="fr-FR"/>
        </w:rPr>
        <w:t xml:space="preserve"> 67972/01, § 66, CEDH 2004-IV), ou qu</w:t>
      </w:r>
      <w:r w:rsidR="002152BB" w:rsidRPr="002152BB">
        <w:rPr>
          <w:lang w:val="fr-FR"/>
        </w:rPr>
        <w:t>’</w:t>
      </w:r>
      <w:r w:rsidR="00BD79DC" w:rsidRPr="002152BB">
        <w:rPr>
          <w:lang w:val="fr-FR"/>
        </w:rPr>
        <w:t>il a eu l</w:t>
      </w:r>
      <w:r w:rsidR="002152BB" w:rsidRPr="002152BB">
        <w:rPr>
          <w:lang w:val="fr-FR"/>
        </w:rPr>
        <w:t>’</w:t>
      </w:r>
      <w:r w:rsidR="00BD79DC" w:rsidRPr="002152BB">
        <w:rPr>
          <w:lang w:val="fr-FR"/>
        </w:rPr>
        <w:t>intention de se soustraire à la justice (</w:t>
      </w:r>
      <w:r w:rsidR="00BD79DC" w:rsidRPr="002152BB">
        <w:rPr>
          <w:i/>
          <w:lang w:val="fr-FR"/>
        </w:rPr>
        <w:t>Medenica c. Suisse</w:t>
      </w:r>
      <w:r w:rsidR="00BD79DC" w:rsidRPr="002152BB">
        <w:rPr>
          <w:lang w:val="fr-FR"/>
        </w:rPr>
        <w:t>, n</w:t>
      </w:r>
      <w:r w:rsidR="00FC42A7" w:rsidRPr="002152BB">
        <w:rPr>
          <w:vertAlign w:val="superscript"/>
          <w:lang w:val="fr-FR"/>
        </w:rPr>
        <w:t>o</w:t>
      </w:r>
      <w:r w:rsidR="00CB2CBC" w:rsidRPr="002152BB">
        <w:rPr>
          <w:lang w:val="fr-FR"/>
        </w:rPr>
        <w:t xml:space="preserve"> 20491/92, § </w:t>
      </w:r>
      <w:r w:rsidR="00BD79DC" w:rsidRPr="002152BB">
        <w:rPr>
          <w:lang w:val="fr-FR"/>
        </w:rPr>
        <w:t xml:space="preserve">55, CEDH 2001-VI, et </w:t>
      </w:r>
      <w:r w:rsidR="00BD79DC" w:rsidRPr="002152BB">
        <w:rPr>
          <w:i/>
          <w:lang w:val="fr-FR"/>
        </w:rPr>
        <w:t>Sejdovic,</w:t>
      </w:r>
      <w:r w:rsidR="00BD79DC" w:rsidRPr="002152BB">
        <w:rPr>
          <w:lang w:val="fr-FR"/>
        </w:rPr>
        <w:t xml:space="preserve"> précité, § 82).</w:t>
      </w:r>
    </w:p>
    <w:p w:rsidR="00310038" w:rsidRPr="002152BB" w:rsidRDefault="008719D5"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45</w:t>
      </w:r>
      <w:r w:rsidRPr="002152BB">
        <w:rPr>
          <w:lang w:val="fr-FR"/>
        </w:rPr>
        <w:fldChar w:fldCharType="end"/>
      </w:r>
      <w:r w:rsidRPr="002152BB">
        <w:rPr>
          <w:lang w:val="fr-FR"/>
        </w:rPr>
        <w:t>.  Il est vrai qu</w:t>
      </w:r>
      <w:r w:rsidR="002152BB" w:rsidRPr="002152BB">
        <w:rPr>
          <w:lang w:val="fr-FR"/>
        </w:rPr>
        <w:t>’</w:t>
      </w:r>
      <w:r w:rsidRPr="002152BB">
        <w:rPr>
          <w:lang w:val="fr-FR"/>
        </w:rPr>
        <w:t>un accusé peut renoncer aux droits de la défense. Toutefois, un accusé n</w:t>
      </w:r>
      <w:r w:rsidR="002152BB" w:rsidRPr="002152BB">
        <w:rPr>
          <w:lang w:val="fr-FR"/>
        </w:rPr>
        <w:t>’</w:t>
      </w:r>
      <w:r w:rsidRPr="002152BB">
        <w:rPr>
          <w:lang w:val="fr-FR"/>
        </w:rPr>
        <w:t>en perd pas le bénéfice du seul fait de son absence aux débats. Il est en effet d</w:t>
      </w:r>
      <w:r w:rsidR="002152BB" w:rsidRPr="002152BB">
        <w:rPr>
          <w:lang w:val="fr-FR"/>
        </w:rPr>
        <w:t>’</w:t>
      </w:r>
      <w:r w:rsidRPr="002152BB">
        <w:rPr>
          <w:lang w:val="fr-FR"/>
        </w:rPr>
        <w:t>une importance cruciale pour l</w:t>
      </w:r>
      <w:r w:rsidR="002152BB" w:rsidRPr="002152BB">
        <w:rPr>
          <w:lang w:val="fr-FR"/>
        </w:rPr>
        <w:t>’</w:t>
      </w:r>
      <w:r w:rsidRPr="002152BB">
        <w:rPr>
          <w:lang w:val="fr-FR"/>
        </w:rPr>
        <w:t>équité du système pénal que l</w:t>
      </w:r>
      <w:r w:rsidR="002152BB" w:rsidRPr="002152BB">
        <w:rPr>
          <w:lang w:val="fr-FR"/>
        </w:rPr>
        <w:t>’</w:t>
      </w:r>
      <w:r w:rsidRPr="002152BB">
        <w:rPr>
          <w:lang w:val="fr-FR"/>
        </w:rPr>
        <w:t>accusé soit défendu de manière adéquate tant en première instance qu</w:t>
      </w:r>
      <w:r w:rsidR="002152BB" w:rsidRPr="002152BB">
        <w:rPr>
          <w:lang w:val="fr-FR"/>
        </w:rPr>
        <w:t>’</w:t>
      </w:r>
      <w:r w:rsidRPr="002152BB">
        <w:rPr>
          <w:lang w:val="fr-FR"/>
        </w:rPr>
        <w:t>en appel.</w:t>
      </w:r>
    </w:p>
    <w:p w:rsidR="00310038" w:rsidRPr="002152BB" w:rsidRDefault="008719D5"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46</w:t>
      </w:r>
      <w:r w:rsidRPr="002152BB">
        <w:rPr>
          <w:lang w:val="fr-FR"/>
        </w:rPr>
        <w:fldChar w:fldCharType="end"/>
      </w:r>
      <w:r w:rsidRPr="002152BB">
        <w:rPr>
          <w:lang w:val="fr-FR"/>
        </w:rPr>
        <w:t>.  En l</w:t>
      </w:r>
      <w:r w:rsidR="002152BB" w:rsidRPr="002152BB">
        <w:rPr>
          <w:lang w:val="fr-FR"/>
        </w:rPr>
        <w:t>’</w:t>
      </w:r>
      <w:r w:rsidRPr="002152BB">
        <w:rPr>
          <w:lang w:val="fr-FR"/>
        </w:rPr>
        <w:t>espèce, le requérant a introduit un recours devant la Cour de cassation après avoir obtenu</w:t>
      </w:r>
      <w:r w:rsidR="0093774A" w:rsidRPr="002152BB">
        <w:rPr>
          <w:lang w:val="fr-FR"/>
        </w:rPr>
        <w:t>, en application de la législation pertinente,</w:t>
      </w:r>
      <w:r w:rsidRPr="002152BB">
        <w:rPr>
          <w:lang w:val="fr-FR"/>
        </w:rPr>
        <w:t xml:space="preserve"> la réouverture des délais. P</w:t>
      </w:r>
      <w:r w:rsidR="002A0A2F" w:rsidRPr="002152BB">
        <w:rPr>
          <w:lang w:val="fr-FR"/>
        </w:rPr>
        <w:t>ar l</w:t>
      </w:r>
      <w:r w:rsidR="002152BB" w:rsidRPr="002152BB">
        <w:rPr>
          <w:lang w:val="fr-FR"/>
        </w:rPr>
        <w:t>’</w:t>
      </w:r>
      <w:r w:rsidR="002A0A2F" w:rsidRPr="002152BB">
        <w:rPr>
          <w:lang w:val="fr-FR"/>
        </w:rPr>
        <w:t>arrêt du 7 février 2008,</w:t>
      </w:r>
      <w:r w:rsidR="006E79FB" w:rsidRPr="002152BB">
        <w:rPr>
          <w:lang w:val="fr-FR"/>
        </w:rPr>
        <w:t xml:space="preserve"> la Cour de cassation a estimé que le requérant ne pouvait pas bénéficier de la réouverture du procès et y participer pour présenter sa défense, étant donné que </w:t>
      </w:r>
      <w:r w:rsidR="006C71A4" w:rsidRPr="002152BB">
        <w:rPr>
          <w:lang w:val="fr-FR"/>
        </w:rPr>
        <w:t>l</w:t>
      </w:r>
      <w:r w:rsidR="002152BB" w:rsidRPr="002152BB">
        <w:rPr>
          <w:lang w:val="fr-FR"/>
        </w:rPr>
        <w:t>’</w:t>
      </w:r>
      <w:r w:rsidR="006C71A4" w:rsidRPr="002152BB">
        <w:rPr>
          <w:lang w:val="fr-FR"/>
        </w:rPr>
        <w:t xml:space="preserve">avocat </w:t>
      </w:r>
      <w:r w:rsidR="006E79FB" w:rsidRPr="002152BB">
        <w:rPr>
          <w:lang w:val="fr-FR"/>
        </w:rPr>
        <w:t xml:space="preserve">commis </w:t>
      </w:r>
      <w:r w:rsidR="006C71A4" w:rsidRPr="002152BB">
        <w:rPr>
          <w:lang w:val="fr-FR"/>
        </w:rPr>
        <w:t>d</w:t>
      </w:r>
      <w:r w:rsidR="002152BB" w:rsidRPr="002152BB">
        <w:rPr>
          <w:lang w:val="fr-FR"/>
        </w:rPr>
        <w:t>’</w:t>
      </w:r>
      <w:r w:rsidR="006C71A4" w:rsidRPr="002152BB">
        <w:rPr>
          <w:lang w:val="fr-FR"/>
        </w:rPr>
        <w:t xml:space="preserve">office </w:t>
      </w:r>
      <w:r w:rsidR="006E79FB" w:rsidRPr="002152BB">
        <w:rPr>
          <w:lang w:val="fr-FR"/>
        </w:rPr>
        <w:t>avait déjà épuisé les recours disponibles</w:t>
      </w:r>
      <w:r w:rsidR="006C71A4" w:rsidRPr="002152BB">
        <w:rPr>
          <w:lang w:val="fr-FR"/>
        </w:rPr>
        <w:t>.</w:t>
      </w:r>
      <w:r w:rsidRPr="002152BB">
        <w:rPr>
          <w:lang w:val="fr-FR"/>
        </w:rPr>
        <w:t xml:space="preserve"> </w:t>
      </w:r>
      <w:r w:rsidR="00BA4D9F" w:rsidRPr="002152BB">
        <w:rPr>
          <w:lang w:val="fr-FR"/>
        </w:rPr>
        <w:t>Cette interprétation de la loi a mis le requérant dans l</w:t>
      </w:r>
      <w:r w:rsidR="002152BB" w:rsidRPr="002152BB">
        <w:rPr>
          <w:lang w:val="fr-FR"/>
        </w:rPr>
        <w:t>’</w:t>
      </w:r>
      <w:r w:rsidR="00BA4D9F" w:rsidRPr="002152BB">
        <w:rPr>
          <w:lang w:val="fr-FR"/>
        </w:rPr>
        <w:t xml:space="preserve">impossibilité de </w:t>
      </w:r>
      <w:r w:rsidR="00346F86" w:rsidRPr="002152BB">
        <w:rPr>
          <w:lang w:val="fr-FR"/>
        </w:rPr>
        <w:t>contester</w:t>
      </w:r>
      <w:r w:rsidR="005F6A72" w:rsidRPr="002152BB">
        <w:rPr>
          <w:lang w:val="fr-FR"/>
        </w:rPr>
        <w:t xml:space="preserve"> </w:t>
      </w:r>
      <w:r w:rsidR="00BA4D9F" w:rsidRPr="002152BB">
        <w:rPr>
          <w:lang w:val="fr-FR"/>
        </w:rPr>
        <w:t>s</w:t>
      </w:r>
      <w:r w:rsidR="005F6A72" w:rsidRPr="002152BB">
        <w:rPr>
          <w:lang w:val="fr-FR"/>
        </w:rPr>
        <w:t>a condamnation et d</w:t>
      </w:r>
      <w:r w:rsidR="002152BB" w:rsidRPr="002152BB">
        <w:rPr>
          <w:lang w:val="fr-FR"/>
        </w:rPr>
        <w:t>’</w:t>
      </w:r>
      <w:r w:rsidR="005F6A72" w:rsidRPr="002152BB">
        <w:rPr>
          <w:lang w:val="fr-FR"/>
        </w:rPr>
        <w:t>être présent au procès le concern</w:t>
      </w:r>
      <w:r w:rsidR="0093774A" w:rsidRPr="002152BB">
        <w:rPr>
          <w:lang w:val="fr-FR"/>
        </w:rPr>
        <w:t>ant</w:t>
      </w:r>
      <w:r w:rsidR="005F6A72" w:rsidRPr="002152BB">
        <w:rPr>
          <w:lang w:val="fr-FR"/>
        </w:rPr>
        <w:t>.</w:t>
      </w:r>
    </w:p>
    <w:p w:rsidR="00310038" w:rsidRPr="002152BB" w:rsidRDefault="008719D5"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47</w:t>
      </w:r>
      <w:r w:rsidRPr="002152BB">
        <w:rPr>
          <w:lang w:val="fr-FR"/>
        </w:rPr>
        <w:fldChar w:fldCharType="end"/>
      </w:r>
      <w:r w:rsidRPr="002152BB">
        <w:rPr>
          <w:lang w:val="fr-FR"/>
        </w:rPr>
        <w:t>.  Par conséquent, la question qui se pose en l</w:t>
      </w:r>
      <w:r w:rsidR="002152BB" w:rsidRPr="002152BB">
        <w:rPr>
          <w:lang w:val="fr-FR"/>
        </w:rPr>
        <w:t>’</w:t>
      </w:r>
      <w:r w:rsidRPr="002152BB">
        <w:rPr>
          <w:lang w:val="fr-FR"/>
        </w:rPr>
        <w:t>espèce est celle de savoir si la défense par un avocat d</w:t>
      </w:r>
      <w:r w:rsidR="002152BB" w:rsidRPr="002152BB">
        <w:rPr>
          <w:lang w:val="fr-FR"/>
        </w:rPr>
        <w:t>’</w:t>
      </w:r>
      <w:r w:rsidRPr="002152BB">
        <w:rPr>
          <w:lang w:val="fr-FR"/>
        </w:rPr>
        <w:t>office a constitué une garantie suffisante contre le risque de procès inéquitable.</w:t>
      </w:r>
    </w:p>
    <w:p w:rsidR="008719D5" w:rsidRPr="002152BB" w:rsidRDefault="008719D5" w:rsidP="002152BB">
      <w:pPr>
        <w:pStyle w:val="ECHRPara"/>
        <w:rPr>
          <w:lang w:val="fr-FR"/>
        </w:rPr>
      </w:pPr>
      <w:r w:rsidRPr="002152BB">
        <w:rPr>
          <w:lang w:val="fr-FR"/>
        </w:rPr>
        <w:lastRenderedPageBreak/>
        <w:t>À cet égard, la Cour relève que la C</w:t>
      </w:r>
      <w:r w:rsidR="005F6A72" w:rsidRPr="002152BB">
        <w:rPr>
          <w:lang w:val="fr-FR"/>
        </w:rPr>
        <w:t xml:space="preserve">our constitutionnelle </w:t>
      </w:r>
      <w:r w:rsidR="00DC0D9E" w:rsidRPr="002152BB">
        <w:rPr>
          <w:lang w:val="fr-FR"/>
        </w:rPr>
        <w:t>s</w:t>
      </w:r>
      <w:r w:rsidR="002152BB" w:rsidRPr="002152BB">
        <w:rPr>
          <w:lang w:val="fr-FR"/>
        </w:rPr>
        <w:t>’</w:t>
      </w:r>
      <w:r w:rsidR="00DC0D9E" w:rsidRPr="002152BB">
        <w:rPr>
          <w:lang w:val="fr-FR"/>
        </w:rPr>
        <w:t xml:space="preserve">est prononcée sur la question </w:t>
      </w:r>
      <w:r w:rsidR="00703B58" w:rsidRPr="002152BB">
        <w:rPr>
          <w:lang w:val="fr-FR"/>
        </w:rPr>
        <w:t>et a conclu qu</w:t>
      </w:r>
      <w:r w:rsidR="002152BB" w:rsidRPr="002152BB">
        <w:rPr>
          <w:lang w:val="fr-FR"/>
        </w:rPr>
        <w:t>’</w:t>
      </w:r>
      <w:r w:rsidR="0093774A" w:rsidRPr="002152BB">
        <w:rPr>
          <w:lang w:val="fr-FR"/>
        </w:rPr>
        <w:t>un système permettant de priver un accusé de la possibilité de faire appel de sa condamnation, au seul motif que l</w:t>
      </w:r>
      <w:r w:rsidR="002152BB" w:rsidRPr="002152BB">
        <w:rPr>
          <w:lang w:val="fr-FR"/>
        </w:rPr>
        <w:t>’</w:t>
      </w:r>
      <w:r w:rsidR="0093774A" w:rsidRPr="002152BB">
        <w:rPr>
          <w:lang w:val="fr-FR"/>
        </w:rPr>
        <w:t>avocat commis d</w:t>
      </w:r>
      <w:r w:rsidR="002152BB" w:rsidRPr="002152BB">
        <w:rPr>
          <w:lang w:val="fr-FR"/>
        </w:rPr>
        <w:t>’</w:t>
      </w:r>
      <w:r w:rsidR="0093774A" w:rsidRPr="002152BB">
        <w:rPr>
          <w:lang w:val="fr-FR"/>
        </w:rPr>
        <w:t>office avait intenté les recours – à l</w:t>
      </w:r>
      <w:r w:rsidR="002152BB" w:rsidRPr="002152BB">
        <w:rPr>
          <w:lang w:val="fr-FR"/>
        </w:rPr>
        <w:t>’</w:t>
      </w:r>
      <w:r w:rsidR="0093774A" w:rsidRPr="002152BB">
        <w:rPr>
          <w:lang w:val="fr-FR"/>
        </w:rPr>
        <w:t>insu de ce même accusé</w:t>
      </w:r>
      <w:r w:rsidR="00CB2CBC" w:rsidRPr="002152BB">
        <w:rPr>
          <w:lang w:val="fr-FR"/>
        </w:rPr>
        <w:t> </w:t>
      </w:r>
      <w:r w:rsidR="00CB2CBC" w:rsidRPr="002152BB">
        <w:rPr>
          <w:lang w:val="fr-FR"/>
        </w:rPr>
        <w:noBreakHyphen/>
        <w:t> </w:t>
      </w:r>
      <w:r w:rsidR="0093774A" w:rsidRPr="002152BB">
        <w:rPr>
          <w:lang w:val="fr-FR"/>
        </w:rPr>
        <w:t xml:space="preserve">posait problème. </w:t>
      </w:r>
      <w:r w:rsidR="00703B58" w:rsidRPr="002152BB">
        <w:rPr>
          <w:lang w:val="fr-FR"/>
        </w:rPr>
        <w:t xml:space="preserve">Elle a notamment </w:t>
      </w:r>
      <w:r w:rsidR="005F6A72" w:rsidRPr="002152BB">
        <w:rPr>
          <w:lang w:val="fr-FR"/>
        </w:rPr>
        <w:t xml:space="preserve">estimé </w:t>
      </w:r>
      <w:r w:rsidRPr="002152BB">
        <w:rPr>
          <w:lang w:val="fr-FR"/>
        </w:rPr>
        <w:t>qu</w:t>
      </w:r>
      <w:r w:rsidR="002152BB" w:rsidRPr="002152BB">
        <w:rPr>
          <w:lang w:val="fr-FR"/>
        </w:rPr>
        <w:t>’</w:t>
      </w:r>
      <w:r w:rsidRPr="002152BB">
        <w:rPr>
          <w:lang w:val="fr-FR"/>
        </w:rPr>
        <w:t xml:space="preserve">il était </w:t>
      </w:r>
      <w:r w:rsidR="005F6A72" w:rsidRPr="002152BB">
        <w:rPr>
          <w:lang w:val="fr-FR"/>
        </w:rPr>
        <w:t xml:space="preserve">incompatible avec la </w:t>
      </w:r>
      <w:r w:rsidR="00346F86" w:rsidRPr="002152BB">
        <w:rPr>
          <w:lang w:val="fr-FR"/>
        </w:rPr>
        <w:t>Constitution</w:t>
      </w:r>
      <w:r w:rsidR="005F6A72" w:rsidRPr="002152BB">
        <w:rPr>
          <w:lang w:val="fr-FR"/>
        </w:rPr>
        <w:t xml:space="preserve"> </w:t>
      </w:r>
      <w:r w:rsidR="00346F86" w:rsidRPr="002152BB">
        <w:rPr>
          <w:lang w:val="fr-FR"/>
        </w:rPr>
        <w:t>italienne</w:t>
      </w:r>
      <w:r w:rsidRPr="002152BB">
        <w:rPr>
          <w:lang w:val="fr-FR"/>
        </w:rPr>
        <w:t xml:space="preserve"> de privilégier des </w:t>
      </w:r>
      <w:r w:rsidR="00526AC4" w:rsidRPr="002152BB">
        <w:rPr>
          <w:lang w:val="fr-FR"/>
        </w:rPr>
        <w:t>principes comme celui de la non-</w:t>
      </w:r>
      <w:r w:rsidRPr="002152BB">
        <w:rPr>
          <w:lang w:val="fr-FR"/>
        </w:rPr>
        <w:t>dupl</w:t>
      </w:r>
      <w:r w:rsidR="00526AC4" w:rsidRPr="002152BB">
        <w:rPr>
          <w:lang w:val="fr-FR"/>
        </w:rPr>
        <w:t>i</w:t>
      </w:r>
      <w:r w:rsidRPr="002152BB">
        <w:rPr>
          <w:lang w:val="fr-FR"/>
        </w:rPr>
        <w:t>cation d</w:t>
      </w:r>
      <w:r w:rsidR="002152BB" w:rsidRPr="002152BB">
        <w:rPr>
          <w:lang w:val="fr-FR"/>
        </w:rPr>
        <w:t>’</w:t>
      </w:r>
      <w:r w:rsidR="00526AC4" w:rsidRPr="002152BB">
        <w:rPr>
          <w:lang w:val="fr-FR"/>
        </w:rPr>
        <w:t>un p</w:t>
      </w:r>
      <w:r w:rsidRPr="002152BB">
        <w:rPr>
          <w:lang w:val="fr-FR"/>
        </w:rPr>
        <w:t>rocès au détriment des garanties de l</w:t>
      </w:r>
      <w:r w:rsidR="002152BB" w:rsidRPr="002152BB">
        <w:rPr>
          <w:lang w:val="fr-FR"/>
        </w:rPr>
        <w:t>’</w:t>
      </w:r>
      <w:r w:rsidRPr="002152BB">
        <w:rPr>
          <w:lang w:val="fr-FR"/>
        </w:rPr>
        <w:t>accusé.</w:t>
      </w:r>
    </w:p>
    <w:p w:rsidR="00310038" w:rsidRPr="002152BB" w:rsidRDefault="00C91CD8" w:rsidP="002152BB">
      <w:pPr>
        <w:pStyle w:val="ECHRPara"/>
        <w:rPr>
          <w:rFonts w:ascii="Times New Roman" w:eastAsia="Times New Roman" w:hAnsi="Times New Roman" w:cs="Times New Roman"/>
          <w:szCs w:val="24"/>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48</w:t>
      </w:r>
      <w:r w:rsidRPr="002152BB">
        <w:rPr>
          <w:lang w:val="fr-FR"/>
        </w:rPr>
        <w:fldChar w:fldCharType="end"/>
      </w:r>
      <w:r w:rsidRPr="002152BB">
        <w:rPr>
          <w:lang w:val="fr-FR"/>
        </w:rPr>
        <w:t xml:space="preserve">.  La Cour </w:t>
      </w:r>
      <w:r w:rsidR="00F43FBE" w:rsidRPr="002152BB">
        <w:rPr>
          <w:lang w:val="fr-FR"/>
        </w:rPr>
        <w:t xml:space="preserve">estime </w:t>
      </w:r>
      <w:r w:rsidR="00487310" w:rsidRPr="002152BB">
        <w:rPr>
          <w:lang w:val="fr-FR"/>
        </w:rPr>
        <w:t xml:space="preserve">que les droits de la défense </w:t>
      </w:r>
      <w:r w:rsidR="00CD4581" w:rsidRPr="002152BB">
        <w:rPr>
          <w:lang w:val="fr-FR"/>
        </w:rPr>
        <w:t>d</w:t>
      </w:r>
      <w:r w:rsidR="002152BB" w:rsidRPr="002152BB">
        <w:rPr>
          <w:lang w:val="fr-FR"/>
        </w:rPr>
        <w:t>’</w:t>
      </w:r>
      <w:r w:rsidR="00CD4581" w:rsidRPr="002152BB">
        <w:rPr>
          <w:lang w:val="fr-FR"/>
        </w:rPr>
        <w:t>un accusé – ne s</w:t>
      </w:r>
      <w:r w:rsidR="002152BB" w:rsidRPr="002152BB">
        <w:rPr>
          <w:lang w:val="fr-FR"/>
        </w:rPr>
        <w:t>’</w:t>
      </w:r>
      <w:r w:rsidR="00CD4581" w:rsidRPr="002152BB">
        <w:rPr>
          <w:lang w:val="fr-FR"/>
        </w:rPr>
        <w:t>étant pas soustrait à la justice et n</w:t>
      </w:r>
      <w:r w:rsidR="002152BB" w:rsidRPr="002152BB">
        <w:rPr>
          <w:lang w:val="fr-FR"/>
        </w:rPr>
        <w:t>’</w:t>
      </w:r>
      <w:r w:rsidR="00CD4581" w:rsidRPr="002152BB">
        <w:rPr>
          <w:lang w:val="fr-FR"/>
        </w:rPr>
        <w:t xml:space="preserve">ayant pas renoncé </w:t>
      </w:r>
      <w:r w:rsidR="002D4808" w:rsidRPr="002152BB">
        <w:rPr>
          <w:lang w:val="fr-FR"/>
        </w:rPr>
        <w:t xml:space="preserve">sans équivoque </w:t>
      </w:r>
      <w:r w:rsidR="00CD4581" w:rsidRPr="002152BB">
        <w:rPr>
          <w:lang w:val="fr-FR"/>
        </w:rPr>
        <w:t xml:space="preserve">à ses garanties procédurales </w:t>
      </w:r>
      <w:r w:rsidR="00652116" w:rsidRPr="002152BB">
        <w:rPr>
          <w:lang w:val="fr-FR"/>
        </w:rPr>
        <w:t>–</w:t>
      </w:r>
      <w:r w:rsidR="00CD4581" w:rsidRPr="002152BB">
        <w:rPr>
          <w:lang w:val="fr-FR"/>
        </w:rPr>
        <w:t xml:space="preserve"> </w:t>
      </w:r>
      <w:r w:rsidR="00487310" w:rsidRPr="002152BB">
        <w:rPr>
          <w:lang w:val="fr-FR"/>
        </w:rPr>
        <w:t>ne sauraient être réduits au point de les rendre inopérants sous prétexte de garantir d</w:t>
      </w:r>
      <w:r w:rsidR="002152BB" w:rsidRPr="002152BB">
        <w:rPr>
          <w:lang w:val="fr-FR"/>
        </w:rPr>
        <w:t>’</w:t>
      </w:r>
      <w:r w:rsidR="00487310" w:rsidRPr="002152BB">
        <w:rPr>
          <w:lang w:val="fr-FR"/>
        </w:rPr>
        <w:t>autres droits fondamentaux du procès, comme le droit au « délai raisonnable » ou celui du « n</w:t>
      </w:r>
      <w:r w:rsidR="00CD4581" w:rsidRPr="002152BB">
        <w:rPr>
          <w:lang w:val="fr-FR"/>
        </w:rPr>
        <w:t>e</w:t>
      </w:r>
      <w:r w:rsidR="00487310" w:rsidRPr="002152BB">
        <w:rPr>
          <w:lang w:val="fr-FR"/>
        </w:rPr>
        <w:t xml:space="preserve"> bis in idem »</w:t>
      </w:r>
      <w:r w:rsidR="00CD4581" w:rsidRPr="002152BB">
        <w:rPr>
          <w:lang w:val="fr-FR"/>
        </w:rPr>
        <w:t xml:space="preserve">, ou, </w:t>
      </w:r>
      <w:r w:rsidR="00CD4581" w:rsidRPr="002152BB">
        <w:rPr>
          <w:i/>
          <w:lang w:val="fr-FR"/>
        </w:rPr>
        <w:t>à fortiori</w:t>
      </w:r>
      <w:r w:rsidR="00CD4581" w:rsidRPr="002152BB">
        <w:rPr>
          <w:lang w:val="fr-FR"/>
        </w:rPr>
        <w:t xml:space="preserve">, pour des </w:t>
      </w:r>
      <w:r w:rsidR="00FC658B" w:rsidRPr="002152BB">
        <w:rPr>
          <w:lang w:val="fr-FR"/>
        </w:rPr>
        <w:t xml:space="preserve">préoccupations </w:t>
      </w:r>
      <w:r w:rsidR="00CD4581" w:rsidRPr="002152BB">
        <w:rPr>
          <w:lang w:val="fr-FR"/>
        </w:rPr>
        <w:t>liées à la charge de travail des tribunaux.</w:t>
      </w:r>
      <w:r w:rsidR="00FC658B" w:rsidRPr="002152BB">
        <w:rPr>
          <w:lang w:val="fr-FR"/>
        </w:rPr>
        <w:t xml:space="preserve"> </w:t>
      </w:r>
      <w:r w:rsidR="00094312" w:rsidRPr="002152BB">
        <w:rPr>
          <w:lang w:val="fr-FR"/>
        </w:rPr>
        <w:t xml:space="preserve">En effet, </w:t>
      </w:r>
      <w:r w:rsidR="00094312" w:rsidRPr="002152BB">
        <w:rPr>
          <w:rFonts w:ascii="Times New Roman" w:eastAsia="Times New Roman" w:hAnsi="Times New Roman" w:cs="Times New Roman"/>
          <w:szCs w:val="24"/>
          <w:lang w:val="fr-FR"/>
        </w:rPr>
        <w:t>la comparution d</w:t>
      </w:r>
      <w:r w:rsidR="002152BB" w:rsidRPr="002152BB">
        <w:rPr>
          <w:rFonts w:ascii="Times New Roman" w:eastAsia="Times New Roman" w:hAnsi="Times New Roman" w:cs="Times New Roman"/>
          <w:szCs w:val="24"/>
          <w:lang w:val="fr-FR"/>
        </w:rPr>
        <w:t>’</w:t>
      </w:r>
      <w:r w:rsidR="00094312" w:rsidRPr="002152BB">
        <w:rPr>
          <w:rFonts w:ascii="Times New Roman" w:eastAsia="Times New Roman" w:hAnsi="Times New Roman" w:cs="Times New Roman"/>
          <w:szCs w:val="24"/>
          <w:lang w:val="fr-FR"/>
        </w:rPr>
        <w:t>un prévenu revêt une importance capitale en raison tant du droit de celui-ci à être entendu que de la nécessité de contrôler l</w:t>
      </w:r>
      <w:r w:rsidR="002152BB" w:rsidRPr="002152BB">
        <w:rPr>
          <w:rFonts w:ascii="Times New Roman" w:eastAsia="Times New Roman" w:hAnsi="Times New Roman" w:cs="Times New Roman"/>
          <w:szCs w:val="24"/>
          <w:lang w:val="fr-FR"/>
        </w:rPr>
        <w:t>’</w:t>
      </w:r>
      <w:r w:rsidR="00094312" w:rsidRPr="002152BB">
        <w:rPr>
          <w:rFonts w:ascii="Times New Roman" w:eastAsia="Times New Roman" w:hAnsi="Times New Roman" w:cs="Times New Roman"/>
          <w:szCs w:val="24"/>
          <w:lang w:val="fr-FR"/>
        </w:rPr>
        <w:t>exactitude de ses affirmations et de les confronter avec les dires de la victime, dont il y a lieu de protéger les intérêts, ainsi que des témoins.</w:t>
      </w:r>
    </w:p>
    <w:p w:rsidR="00310038" w:rsidRPr="002152BB" w:rsidRDefault="00CC6C8C" w:rsidP="002152BB">
      <w:pPr>
        <w:pStyle w:val="ECHRPara"/>
        <w:rPr>
          <w:rFonts w:ascii="Times New Roman" w:eastAsia="Times New Roman" w:hAnsi="Times New Roman" w:cs="Times New Roman"/>
          <w:szCs w:val="24"/>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49</w:t>
      </w:r>
      <w:r w:rsidRPr="002152BB">
        <w:rPr>
          <w:lang w:val="fr-FR"/>
        </w:rPr>
        <w:fldChar w:fldCharType="end"/>
      </w:r>
      <w:r w:rsidRPr="002152BB">
        <w:rPr>
          <w:lang w:val="fr-FR"/>
        </w:rPr>
        <w:t>.  </w:t>
      </w:r>
      <w:r w:rsidR="002D4808" w:rsidRPr="002152BB">
        <w:rPr>
          <w:lang w:val="fr-FR"/>
        </w:rPr>
        <w:t>En l</w:t>
      </w:r>
      <w:r w:rsidR="002152BB" w:rsidRPr="002152BB">
        <w:rPr>
          <w:lang w:val="fr-FR"/>
        </w:rPr>
        <w:t>’</w:t>
      </w:r>
      <w:r w:rsidR="002D4808" w:rsidRPr="002152BB">
        <w:rPr>
          <w:lang w:val="fr-FR"/>
        </w:rPr>
        <w:t>espèce, l</w:t>
      </w:r>
      <w:r w:rsidR="00080B74" w:rsidRPr="002152BB">
        <w:rPr>
          <w:lang w:val="fr-FR"/>
        </w:rPr>
        <w:t>e requérant n</w:t>
      </w:r>
      <w:r w:rsidR="002152BB" w:rsidRPr="002152BB">
        <w:rPr>
          <w:lang w:val="fr-FR"/>
        </w:rPr>
        <w:t>’</w:t>
      </w:r>
      <w:r w:rsidR="00080B74" w:rsidRPr="002152BB">
        <w:rPr>
          <w:lang w:val="fr-FR"/>
        </w:rPr>
        <w:t>a pas eu</w:t>
      </w:r>
      <w:r w:rsidR="00080B74" w:rsidRPr="002152BB">
        <w:rPr>
          <w:rFonts w:ascii="Times New Roman" w:eastAsia="Times New Roman" w:hAnsi="Times New Roman" w:cs="Times New Roman"/>
          <w:szCs w:val="24"/>
          <w:lang w:val="fr-FR"/>
        </w:rPr>
        <w:t xml:space="preserve"> la possibilité d</w:t>
      </w:r>
      <w:r w:rsidR="002152BB" w:rsidRPr="002152BB">
        <w:rPr>
          <w:rFonts w:ascii="Times New Roman" w:eastAsia="Times New Roman" w:hAnsi="Times New Roman" w:cs="Times New Roman"/>
          <w:szCs w:val="24"/>
          <w:lang w:val="fr-FR"/>
        </w:rPr>
        <w:t>’</w:t>
      </w:r>
      <w:r w:rsidR="00080B74" w:rsidRPr="002152BB">
        <w:rPr>
          <w:rFonts w:ascii="Times New Roman" w:eastAsia="Times New Roman" w:hAnsi="Times New Roman" w:cs="Times New Roman"/>
          <w:szCs w:val="24"/>
          <w:lang w:val="fr-FR"/>
        </w:rPr>
        <w:t>une nouvelle décision sur le bien-fondé de l</w:t>
      </w:r>
      <w:r w:rsidR="002152BB" w:rsidRPr="002152BB">
        <w:rPr>
          <w:rFonts w:ascii="Times New Roman" w:eastAsia="Times New Roman" w:hAnsi="Times New Roman" w:cs="Times New Roman"/>
          <w:szCs w:val="24"/>
          <w:lang w:val="fr-FR"/>
        </w:rPr>
        <w:t>’</w:t>
      </w:r>
      <w:r w:rsidR="00080B74" w:rsidRPr="002152BB">
        <w:rPr>
          <w:rFonts w:ascii="Times New Roman" w:eastAsia="Times New Roman" w:hAnsi="Times New Roman" w:cs="Times New Roman"/>
          <w:szCs w:val="24"/>
          <w:lang w:val="fr-FR"/>
        </w:rPr>
        <w:t>accusation en fait comme en droit, malgré le fait que son absence au procès ne lui était pas imputable.</w:t>
      </w:r>
    </w:p>
    <w:p w:rsidR="00060DF0"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50</w:t>
      </w:r>
      <w:r w:rsidRPr="002152BB">
        <w:rPr>
          <w:lang w:val="fr-FR"/>
        </w:rPr>
        <w:fldChar w:fldCharType="end"/>
      </w:r>
      <w:r w:rsidR="00E77CB3" w:rsidRPr="002152BB">
        <w:rPr>
          <w:lang w:val="fr-FR"/>
        </w:rPr>
        <w:t>.  Ces éléments suffisent à la Cour pour conclure qu</w:t>
      </w:r>
      <w:r w:rsidR="002152BB" w:rsidRPr="002152BB">
        <w:rPr>
          <w:lang w:val="fr-FR"/>
        </w:rPr>
        <w:t>’</w:t>
      </w:r>
      <w:r w:rsidR="00060DF0" w:rsidRPr="002152BB">
        <w:rPr>
          <w:lang w:val="fr-FR"/>
        </w:rPr>
        <w:t>il y a eu violation de l</w:t>
      </w:r>
      <w:r w:rsidR="002152BB" w:rsidRPr="002152BB">
        <w:rPr>
          <w:lang w:val="fr-FR"/>
        </w:rPr>
        <w:t>’</w:t>
      </w:r>
      <w:r w:rsidR="00060DF0" w:rsidRPr="002152BB">
        <w:rPr>
          <w:lang w:val="fr-FR"/>
        </w:rPr>
        <w:t>article 6 de la Convention.</w:t>
      </w:r>
    </w:p>
    <w:p w:rsidR="00E77CB3" w:rsidRPr="002152BB" w:rsidRDefault="00932366" w:rsidP="002152BB">
      <w:pPr>
        <w:pStyle w:val="ECHRHeading1"/>
        <w:rPr>
          <w:lang w:val="fr-FR"/>
        </w:rPr>
      </w:pPr>
      <w:r w:rsidRPr="002152BB">
        <w:rPr>
          <w:lang w:val="fr-FR"/>
        </w:rPr>
        <w:t>II</w:t>
      </w:r>
      <w:r w:rsidR="00E77CB3" w:rsidRPr="002152BB">
        <w:rPr>
          <w:lang w:val="fr-FR"/>
        </w:rPr>
        <w:t>.  SUR L</w:t>
      </w:r>
      <w:r w:rsidR="002152BB" w:rsidRPr="002152BB">
        <w:rPr>
          <w:lang w:val="fr-FR"/>
        </w:rPr>
        <w:t>’</w:t>
      </w:r>
      <w:r w:rsidR="00E77CB3" w:rsidRPr="002152BB">
        <w:rPr>
          <w:lang w:val="fr-FR"/>
        </w:rPr>
        <w:t>APPLICATION DE L</w:t>
      </w:r>
      <w:r w:rsidR="002152BB" w:rsidRPr="002152BB">
        <w:rPr>
          <w:lang w:val="fr-FR"/>
        </w:rPr>
        <w:t>’</w:t>
      </w:r>
      <w:r w:rsidR="00E77CB3" w:rsidRPr="002152BB">
        <w:rPr>
          <w:lang w:val="fr-FR"/>
        </w:rPr>
        <w:t>ARTICLE 41 DE LA CONVENTION</w:t>
      </w:r>
    </w:p>
    <w:p w:rsidR="00E77CB3"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51</w:t>
      </w:r>
      <w:r w:rsidRPr="002152BB">
        <w:rPr>
          <w:lang w:val="fr-FR"/>
        </w:rPr>
        <w:fldChar w:fldCharType="end"/>
      </w:r>
      <w:r w:rsidR="00E77CB3" w:rsidRPr="002152BB">
        <w:rPr>
          <w:lang w:val="fr-FR"/>
        </w:rPr>
        <w:t>.  Aux termes de l</w:t>
      </w:r>
      <w:r w:rsidR="002152BB" w:rsidRPr="002152BB">
        <w:rPr>
          <w:lang w:val="fr-FR"/>
        </w:rPr>
        <w:t>’</w:t>
      </w:r>
      <w:r w:rsidR="00E77CB3" w:rsidRPr="002152BB">
        <w:rPr>
          <w:lang w:val="fr-FR"/>
        </w:rPr>
        <w:t>article 41 de la Convention,</w:t>
      </w:r>
    </w:p>
    <w:p w:rsidR="00E77CB3" w:rsidRPr="002152BB" w:rsidRDefault="00E77CB3" w:rsidP="002152BB">
      <w:pPr>
        <w:pStyle w:val="ECHRParaQuote"/>
        <w:keepNext/>
        <w:keepLines/>
        <w:rPr>
          <w:lang w:val="fr-FR"/>
        </w:rPr>
      </w:pPr>
      <w:r w:rsidRPr="002152BB">
        <w:rPr>
          <w:lang w:val="fr-FR"/>
        </w:rPr>
        <w:t>« Si la Cour déclare qu</w:t>
      </w:r>
      <w:r w:rsidR="002152BB" w:rsidRPr="002152BB">
        <w:rPr>
          <w:lang w:val="fr-FR"/>
        </w:rPr>
        <w:t>’</w:t>
      </w:r>
      <w:r w:rsidRPr="002152BB">
        <w:rPr>
          <w:lang w:val="fr-FR"/>
        </w:rPr>
        <w:t>il y a eu violation de la Convention ou de ses Protocoles, et si le droit interne de la Haute Partie contractante ne permet d</w:t>
      </w:r>
      <w:r w:rsidR="002152BB" w:rsidRPr="002152BB">
        <w:rPr>
          <w:lang w:val="fr-FR"/>
        </w:rPr>
        <w:t>’</w:t>
      </w:r>
      <w:r w:rsidRPr="002152BB">
        <w:rPr>
          <w:lang w:val="fr-FR"/>
        </w:rPr>
        <w:t>effacer qu</w:t>
      </w:r>
      <w:r w:rsidR="002152BB" w:rsidRPr="002152BB">
        <w:rPr>
          <w:lang w:val="fr-FR"/>
        </w:rPr>
        <w:t>’</w:t>
      </w:r>
      <w:r w:rsidRPr="002152BB">
        <w:rPr>
          <w:lang w:val="fr-FR"/>
        </w:rPr>
        <w:t>imparfaitement les conséquences de cette violation, la Cour accorde à la partie lésée, s</w:t>
      </w:r>
      <w:r w:rsidR="002152BB" w:rsidRPr="002152BB">
        <w:rPr>
          <w:lang w:val="fr-FR"/>
        </w:rPr>
        <w:t>’</w:t>
      </w:r>
      <w:r w:rsidRPr="002152BB">
        <w:rPr>
          <w:lang w:val="fr-FR"/>
        </w:rPr>
        <w:t>il y a lieu, une satisfaction équitable. »</w:t>
      </w:r>
    </w:p>
    <w:p w:rsidR="00D3250B" w:rsidRPr="002152BB" w:rsidRDefault="00D3250B" w:rsidP="002152BB">
      <w:pPr>
        <w:pStyle w:val="ECHRHeading2"/>
        <w:rPr>
          <w:lang w:val="fr-FR"/>
        </w:rPr>
      </w:pPr>
      <w:r w:rsidRPr="002152BB">
        <w:rPr>
          <w:lang w:val="fr-FR"/>
        </w:rPr>
        <w:t>Dommage</w:t>
      </w:r>
    </w:p>
    <w:p w:rsidR="00310038" w:rsidRPr="002152BB" w:rsidRDefault="00852B47" w:rsidP="002152BB">
      <w:pPr>
        <w:pStyle w:val="ECHRPara"/>
        <w:rPr>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52</w:t>
      </w:r>
      <w:r w:rsidRPr="002152BB">
        <w:rPr>
          <w:lang w:val="fr-FR"/>
        </w:rPr>
        <w:fldChar w:fldCharType="end"/>
      </w:r>
      <w:r w:rsidR="00E77CB3" w:rsidRPr="002152BB">
        <w:rPr>
          <w:lang w:val="fr-FR"/>
        </w:rPr>
        <w:t>.  </w:t>
      </w:r>
      <w:r w:rsidR="006C71A4" w:rsidRPr="002152BB">
        <w:rPr>
          <w:lang w:val="fr-FR"/>
        </w:rPr>
        <w:t>L</w:t>
      </w:r>
      <w:r w:rsidRPr="002152BB">
        <w:rPr>
          <w:lang w:val="fr-FR"/>
        </w:rPr>
        <w:t>e requérant</w:t>
      </w:r>
      <w:r w:rsidR="00E77CB3" w:rsidRPr="002152BB">
        <w:rPr>
          <w:lang w:val="fr-FR"/>
        </w:rPr>
        <w:t xml:space="preserve"> n</w:t>
      </w:r>
      <w:r w:rsidR="002152BB" w:rsidRPr="002152BB">
        <w:rPr>
          <w:lang w:val="fr-FR"/>
        </w:rPr>
        <w:t>’</w:t>
      </w:r>
      <w:r w:rsidRPr="002152BB">
        <w:rPr>
          <w:lang w:val="fr-FR"/>
        </w:rPr>
        <w:t>a</w:t>
      </w:r>
      <w:r w:rsidR="00E77CB3" w:rsidRPr="002152BB">
        <w:rPr>
          <w:lang w:val="fr-FR"/>
        </w:rPr>
        <w:t xml:space="preserve"> </w:t>
      </w:r>
      <w:r w:rsidR="006C71A4" w:rsidRPr="002152BB">
        <w:rPr>
          <w:lang w:val="fr-FR"/>
        </w:rPr>
        <w:t xml:space="preserve">pas </w:t>
      </w:r>
      <w:r w:rsidR="00E77CB3" w:rsidRPr="002152BB">
        <w:rPr>
          <w:lang w:val="fr-FR"/>
        </w:rPr>
        <w:t xml:space="preserve">présenté </w:t>
      </w:r>
      <w:r w:rsidR="006C71A4" w:rsidRPr="002152BB">
        <w:rPr>
          <w:lang w:val="fr-FR"/>
        </w:rPr>
        <w:t>d</w:t>
      </w:r>
      <w:r w:rsidR="007C2C01" w:rsidRPr="002152BB">
        <w:rPr>
          <w:lang w:val="fr-FR"/>
        </w:rPr>
        <w:t>e demandes de satisfaction équitable</w:t>
      </w:r>
      <w:r w:rsidR="006C71A4" w:rsidRPr="002152BB">
        <w:rPr>
          <w:lang w:val="fr-FR"/>
        </w:rPr>
        <w:t xml:space="preserve"> </w:t>
      </w:r>
      <w:r w:rsidR="00516C34" w:rsidRPr="002152BB">
        <w:rPr>
          <w:lang w:val="fr-FR"/>
        </w:rPr>
        <w:t>conformément à l</w:t>
      </w:r>
      <w:r w:rsidR="002152BB" w:rsidRPr="002152BB">
        <w:rPr>
          <w:lang w:val="fr-FR"/>
        </w:rPr>
        <w:t>’</w:t>
      </w:r>
      <w:r w:rsidR="00516C34" w:rsidRPr="002152BB">
        <w:rPr>
          <w:lang w:val="fr-FR"/>
        </w:rPr>
        <w:t xml:space="preserve">article 60 du Règlement </w:t>
      </w:r>
      <w:r w:rsidR="006C71A4" w:rsidRPr="002152BB">
        <w:rPr>
          <w:lang w:val="fr-FR"/>
        </w:rPr>
        <w:t>(paragraphe 5 ci-dessus).</w:t>
      </w:r>
    </w:p>
    <w:p w:rsidR="007C2C01" w:rsidRPr="002152BB" w:rsidRDefault="00093D13" w:rsidP="002152BB">
      <w:pPr>
        <w:pStyle w:val="ECHRPara"/>
        <w:rPr>
          <w:i/>
          <w:lang w:val="fr-FR"/>
        </w:rPr>
      </w:pPr>
      <w:r w:rsidRPr="002152BB">
        <w:rPr>
          <w:lang w:val="fr-FR"/>
        </w:rPr>
        <w:fldChar w:fldCharType="begin"/>
      </w:r>
      <w:r w:rsidRPr="002152BB">
        <w:rPr>
          <w:lang w:val="fr-FR"/>
        </w:rPr>
        <w:instrText xml:space="preserve"> SEQ level0 \*arabic </w:instrText>
      </w:r>
      <w:r w:rsidRPr="002152BB">
        <w:rPr>
          <w:lang w:val="fr-FR"/>
        </w:rPr>
        <w:fldChar w:fldCharType="separate"/>
      </w:r>
      <w:r w:rsidR="002152BB" w:rsidRPr="002152BB">
        <w:rPr>
          <w:noProof/>
          <w:lang w:val="fr-FR"/>
        </w:rPr>
        <w:t>53</w:t>
      </w:r>
      <w:r w:rsidRPr="002152BB">
        <w:rPr>
          <w:lang w:val="fr-FR"/>
        </w:rPr>
        <w:fldChar w:fldCharType="end"/>
      </w:r>
      <w:r w:rsidRPr="002152BB">
        <w:rPr>
          <w:lang w:val="fr-FR"/>
        </w:rPr>
        <w:t>.  </w:t>
      </w:r>
      <w:r w:rsidR="00D3250B" w:rsidRPr="002152BB">
        <w:rPr>
          <w:lang w:val="fr-FR"/>
        </w:rPr>
        <w:t>L</w:t>
      </w:r>
      <w:r w:rsidR="00E77CB3" w:rsidRPr="002152BB">
        <w:rPr>
          <w:lang w:val="fr-FR"/>
        </w:rPr>
        <w:t xml:space="preserve">a Cour </w:t>
      </w:r>
      <w:r w:rsidR="00516C34" w:rsidRPr="002152BB">
        <w:rPr>
          <w:lang w:val="fr-FR"/>
        </w:rPr>
        <w:t xml:space="preserve">estime par conséquent </w:t>
      </w:r>
      <w:r w:rsidR="007C2C01" w:rsidRPr="002152BB">
        <w:rPr>
          <w:lang w:val="fr-FR"/>
        </w:rPr>
        <w:t>qu</w:t>
      </w:r>
      <w:r w:rsidR="002152BB" w:rsidRPr="002152BB">
        <w:rPr>
          <w:lang w:val="fr-FR"/>
        </w:rPr>
        <w:t>’</w:t>
      </w:r>
      <w:r w:rsidR="007C2C01" w:rsidRPr="002152BB">
        <w:rPr>
          <w:lang w:val="fr-FR"/>
        </w:rPr>
        <w:t>il n</w:t>
      </w:r>
      <w:r w:rsidR="002152BB" w:rsidRPr="002152BB">
        <w:rPr>
          <w:lang w:val="fr-FR"/>
        </w:rPr>
        <w:t>’</w:t>
      </w:r>
      <w:r w:rsidR="007C2C01" w:rsidRPr="002152BB">
        <w:rPr>
          <w:lang w:val="fr-FR"/>
        </w:rPr>
        <w:t>y a pas lieu de lui octroyer de somme à ce titre</w:t>
      </w:r>
      <w:r w:rsidR="00516C34" w:rsidRPr="002152BB">
        <w:rPr>
          <w:lang w:val="fr-FR"/>
        </w:rPr>
        <w:t xml:space="preserve"> </w:t>
      </w:r>
      <w:r w:rsidR="00EF7DDE" w:rsidRPr="002152BB">
        <w:rPr>
          <w:lang w:val="fr-FR"/>
        </w:rPr>
        <w:t>(</w:t>
      </w:r>
      <w:r w:rsidR="00EF7DDE" w:rsidRPr="002152BB">
        <w:rPr>
          <w:i/>
          <w:lang w:val="fr-FR"/>
        </w:rPr>
        <w:t>Antonio Messina</w:t>
      </w:r>
      <w:r w:rsidR="00EF7DDE" w:rsidRPr="002152BB">
        <w:rPr>
          <w:lang w:val="fr-FR"/>
        </w:rPr>
        <w:t xml:space="preserve"> </w:t>
      </w:r>
      <w:r w:rsidR="00EF7DDE" w:rsidRPr="002152BB">
        <w:rPr>
          <w:i/>
          <w:lang w:val="fr-FR"/>
        </w:rPr>
        <w:t>c. Italie</w:t>
      </w:r>
      <w:r w:rsidR="00EF7DDE" w:rsidRPr="002152BB">
        <w:rPr>
          <w:lang w:val="fr-FR"/>
        </w:rPr>
        <w:t>, n</w:t>
      </w:r>
      <w:r w:rsidR="00EF7DDE" w:rsidRPr="002152BB">
        <w:rPr>
          <w:vertAlign w:val="superscript"/>
          <w:lang w:val="fr-FR"/>
        </w:rPr>
        <w:t>o</w:t>
      </w:r>
      <w:r w:rsidR="00EF7DDE" w:rsidRPr="002152BB">
        <w:rPr>
          <w:lang w:val="fr-FR"/>
        </w:rPr>
        <w:t xml:space="preserve"> 39824/07</w:t>
      </w:r>
      <w:r w:rsidR="00EF7DDE" w:rsidRPr="002152BB">
        <w:rPr>
          <w:snapToGrid w:val="0"/>
          <w:lang w:val="fr-FR"/>
        </w:rPr>
        <w:t xml:space="preserve">, § 67, 24 </w:t>
      </w:r>
      <w:r w:rsidR="00EF7DDE" w:rsidRPr="002152BB">
        <w:rPr>
          <w:lang w:val="fr-FR"/>
        </w:rPr>
        <w:t>mars</w:t>
      </w:r>
      <w:r w:rsidR="00EF7DDE" w:rsidRPr="002152BB">
        <w:rPr>
          <w:snapToGrid w:val="0"/>
          <w:lang w:val="fr-FR"/>
        </w:rPr>
        <w:t xml:space="preserve"> 2015).</w:t>
      </w:r>
    </w:p>
    <w:p w:rsidR="00E77CB3" w:rsidRPr="002152BB" w:rsidRDefault="00E77CB3" w:rsidP="002152BB">
      <w:pPr>
        <w:pStyle w:val="ECHRTitle1"/>
        <w:rPr>
          <w:lang w:val="fr-FR"/>
        </w:rPr>
      </w:pPr>
      <w:r w:rsidRPr="002152BB">
        <w:rPr>
          <w:lang w:val="fr-FR"/>
        </w:rPr>
        <w:t>PAR CES MOTIFS, LA COUR</w:t>
      </w:r>
      <w:r w:rsidR="00852B47" w:rsidRPr="002152BB">
        <w:rPr>
          <w:lang w:val="fr-FR"/>
        </w:rPr>
        <w:t>, À L</w:t>
      </w:r>
      <w:r w:rsidR="002152BB" w:rsidRPr="002152BB">
        <w:rPr>
          <w:lang w:val="fr-FR"/>
        </w:rPr>
        <w:t>’</w:t>
      </w:r>
      <w:r w:rsidR="00852B47" w:rsidRPr="002152BB">
        <w:rPr>
          <w:lang w:val="fr-FR"/>
        </w:rPr>
        <w:t>UNANIMITÉ,</w:t>
      </w:r>
    </w:p>
    <w:p w:rsidR="00FB2B45" w:rsidRPr="002152BB" w:rsidRDefault="00FB2B45" w:rsidP="002152BB">
      <w:pPr>
        <w:pStyle w:val="JuList"/>
        <w:rPr>
          <w:lang w:val="fr-FR"/>
        </w:rPr>
      </w:pPr>
      <w:r w:rsidRPr="002152BB">
        <w:rPr>
          <w:lang w:val="fr-FR"/>
        </w:rPr>
        <w:t>1.  </w:t>
      </w:r>
      <w:r w:rsidRPr="002152BB">
        <w:rPr>
          <w:i/>
          <w:lang w:val="fr-FR"/>
        </w:rPr>
        <w:t>Déclare</w:t>
      </w:r>
      <w:r w:rsidR="00852B47" w:rsidRPr="002152BB">
        <w:rPr>
          <w:lang w:val="fr-FR"/>
        </w:rPr>
        <w:t xml:space="preserve"> la requête recevable</w:t>
      </w:r>
      <w:r w:rsidR="007C2C01" w:rsidRPr="002152BB">
        <w:rPr>
          <w:lang w:val="fr-FR"/>
        </w:rPr>
        <w:t> ;</w:t>
      </w:r>
    </w:p>
    <w:p w:rsidR="00E77CB3" w:rsidRPr="002152BB" w:rsidRDefault="00E77CB3" w:rsidP="002152BB">
      <w:pPr>
        <w:pStyle w:val="JuList"/>
        <w:rPr>
          <w:lang w:val="fr-FR"/>
        </w:rPr>
      </w:pPr>
    </w:p>
    <w:p w:rsidR="00E77CB3" w:rsidRPr="002152BB" w:rsidRDefault="002F7DA0" w:rsidP="002152BB">
      <w:pPr>
        <w:pStyle w:val="JuList"/>
        <w:rPr>
          <w:lang w:val="fr-FR"/>
        </w:rPr>
      </w:pPr>
      <w:r w:rsidRPr="002152BB">
        <w:rPr>
          <w:lang w:val="fr-FR"/>
        </w:rPr>
        <w:t>2</w:t>
      </w:r>
      <w:r w:rsidR="00E77CB3" w:rsidRPr="002152BB">
        <w:rPr>
          <w:lang w:val="fr-FR"/>
        </w:rPr>
        <w:t>.  </w:t>
      </w:r>
      <w:r w:rsidR="00E77CB3" w:rsidRPr="002152BB">
        <w:rPr>
          <w:i/>
          <w:lang w:val="fr-FR"/>
        </w:rPr>
        <w:t>Dit</w:t>
      </w:r>
      <w:r w:rsidR="00852B47" w:rsidRPr="002152BB">
        <w:rPr>
          <w:lang w:val="fr-FR"/>
        </w:rPr>
        <w:t xml:space="preserve"> </w:t>
      </w:r>
      <w:r w:rsidR="00E77CB3" w:rsidRPr="002152BB">
        <w:rPr>
          <w:lang w:val="fr-FR"/>
        </w:rPr>
        <w:t>qu</w:t>
      </w:r>
      <w:r w:rsidR="002152BB" w:rsidRPr="002152BB">
        <w:rPr>
          <w:lang w:val="fr-FR"/>
        </w:rPr>
        <w:t>’</w:t>
      </w:r>
      <w:r w:rsidR="00E77CB3" w:rsidRPr="002152BB">
        <w:rPr>
          <w:lang w:val="fr-FR"/>
        </w:rPr>
        <w:t>il y a eu violation de l</w:t>
      </w:r>
      <w:r w:rsidR="002152BB" w:rsidRPr="002152BB">
        <w:rPr>
          <w:lang w:val="fr-FR"/>
        </w:rPr>
        <w:t>’</w:t>
      </w:r>
      <w:r w:rsidR="00E77CB3" w:rsidRPr="002152BB">
        <w:rPr>
          <w:lang w:val="fr-FR"/>
        </w:rPr>
        <w:t xml:space="preserve">article </w:t>
      </w:r>
      <w:r w:rsidR="00932366" w:rsidRPr="002152BB">
        <w:rPr>
          <w:lang w:val="fr-FR"/>
        </w:rPr>
        <w:t>6</w:t>
      </w:r>
      <w:r w:rsidR="00E77CB3" w:rsidRPr="002152BB">
        <w:rPr>
          <w:lang w:val="fr-FR"/>
        </w:rPr>
        <w:t xml:space="preserve"> de la Convention ;</w:t>
      </w:r>
    </w:p>
    <w:p w:rsidR="00EF7DDE" w:rsidRPr="002152BB" w:rsidRDefault="00EF7DDE" w:rsidP="002152BB">
      <w:pPr>
        <w:pStyle w:val="JuList"/>
        <w:rPr>
          <w:lang w:val="fr-FR"/>
        </w:rPr>
      </w:pPr>
    </w:p>
    <w:p w:rsidR="00E77CB3" w:rsidRPr="002152BB" w:rsidRDefault="00EF7DDE" w:rsidP="002152BB">
      <w:pPr>
        <w:pStyle w:val="JuList"/>
        <w:rPr>
          <w:lang w:val="fr-FR"/>
        </w:rPr>
      </w:pPr>
      <w:r w:rsidRPr="002152BB">
        <w:rPr>
          <w:lang w:val="fr-FR"/>
        </w:rPr>
        <w:t>3.  </w:t>
      </w:r>
      <w:r w:rsidRPr="002152BB">
        <w:rPr>
          <w:i/>
          <w:lang w:val="fr-FR"/>
        </w:rPr>
        <w:t>Dit</w:t>
      </w:r>
      <w:r w:rsidRPr="002152BB">
        <w:rPr>
          <w:lang w:val="fr-FR"/>
        </w:rPr>
        <w:t xml:space="preserve"> qu</w:t>
      </w:r>
      <w:r w:rsidR="002152BB" w:rsidRPr="002152BB">
        <w:rPr>
          <w:lang w:val="fr-FR"/>
        </w:rPr>
        <w:t>’</w:t>
      </w:r>
      <w:r w:rsidRPr="002152BB">
        <w:rPr>
          <w:lang w:val="fr-FR"/>
        </w:rPr>
        <w:t>il n</w:t>
      </w:r>
      <w:r w:rsidR="002152BB" w:rsidRPr="002152BB">
        <w:rPr>
          <w:lang w:val="fr-FR"/>
        </w:rPr>
        <w:t>’</w:t>
      </w:r>
      <w:r w:rsidRPr="002152BB">
        <w:rPr>
          <w:lang w:val="fr-FR"/>
        </w:rPr>
        <w:t>y a pas lieu d</w:t>
      </w:r>
      <w:r w:rsidR="002152BB" w:rsidRPr="002152BB">
        <w:rPr>
          <w:lang w:val="fr-FR"/>
        </w:rPr>
        <w:t>’</w:t>
      </w:r>
      <w:r w:rsidRPr="002152BB">
        <w:rPr>
          <w:lang w:val="fr-FR"/>
        </w:rPr>
        <w:t>allouer une somme au titre de satisfaction équitable en l</w:t>
      </w:r>
      <w:r w:rsidR="002152BB" w:rsidRPr="002152BB">
        <w:rPr>
          <w:lang w:val="fr-FR"/>
        </w:rPr>
        <w:t>’</w:t>
      </w:r>
      <w:r w:rsidRPr="002152BB">
        <w:rPr>
          <w:lang w:val="fr-FR"/>
        </w:rPr>
        <w:t>espèce.</w:t>
      </w:r>
    </w:p>
    <w:p w:rsidR="00EF7DDE" w:rsidRPr="002152BB" w:rsidRDefault="00EF7DDE" w:rsidP="002152BB">
      <w:pPr>
        <w:pStyle w:val="JuList"/>
        <w:rPr>
          <w:lang w:val="fr-FR"/>
        </w:rPr>
      </w:pPr>
    </w:p>
    <w:p w:rsidR="00E77CB3" w:rsidRPr="002152BB" w:rsidRDefault="007C2C01" w:rsidP="002152BB">
      <w:pPr>
        <w:pStyle w:val="JuParaLast"/>
        <w:rPr>
          <w:lang w:val="fr-FR"/>
        </w:rPr>
      </w:pPr>
      <w:r w:rsidRPr="002152BB">
        <w:rPr>
          <w:lang w:val="fr-FR"/>
        </w:rPr>
        <w:t>F</w:t>
      </w:r>
      <w:r w:rsidR="00E77CB3" w:rsidRPr="002152BB">
        <w:rPr>
          <w:lang w:val="fr-FR"/>
        </w:rPr>
        <w:t>ait en français, puis communiqué par écrit le </w:t>
      </w:r>
      <w:r w:rsidR="00CB2CBC" w:rsidRPr="002152BB">
        <w:rPr>
          <w:lang w:val="fr-FR"/>
        </w:rPr>
        <w:t>1</w:t>
      </w:r>
      <w:r w:rsidR="00CB2CBC" w:rsidRPr="002152BB">
        <w:rPr>
          <w:vertAlign w:val="superscript"/>
          <w:lang w:val="fr-FR"/>
        </w:rPr>
        <w:t>er</w:t>
      </w:r>
      <w:r w:rsidR="00CB2CBC" w:rsidRPr="002152BB">
        <w:rPr>
          <w:lang w:val="fr-FR"/>
        </w:rPr>
        <w:t xml:space="preserve"> septembre 2016</w:t>
      </w:r>
      <w:r w:rsidR="00E77CB3" w:rsidRPr="002152BB">
        <w:rPr>
          <w:lang w:val="fr-FR"/>
        </w:rPr>
        <w:t>, en application de l</w:t>
      </w:r>
      <w:r w:rsidR="002152BB" w:rsidRPr="002152BB">
        <w:rPr>
          <w:lang w:val="fr-FR"/>
        </w:rPr>
        <w:t>’</w:t>
      </w:r>
      <w:r w:rsidR="00E77CB3" w:rsidRPr="002152BB">
        <w:rPr>
          <w:lang w:val="fr-FR"/>
        </w:rPr>
        <w:t>article 77 §§ 2 et 3 du règlement</w:t>
      </w:r>
      <w:r w:rsidR="00AC0824" w:rsidRPr="002152BB">
        <w:rPr>
          <w:lang w:val="fr-FR"/>
        </w:rPr>
        <w:t xml:space="preserve"> de la Cour</w:t>
      </w:r>
      <w:r w:rsidR="00E77CB3" w:rsidRPr="002152BB">
        <w:rPr>
          <w:lang w:val="fr-FR"/>
        </w:rPr>
        <w:t>.</w:t>
      </w:r>
    </w:p>
    <w:p w:rsidR="00E77CB3" w:rsidRPr="002152BB" w:rsidRDefault="00852B47" w:rsidP="002152BB">
      <w:pPr>
        <w:pStyle w:val="JuSigned"/>
        <w:rPr>
          <w:lang w:val="fr-FR"/>
        </w:rPr>
      </w:pPr>
      <w:r w:rsidRPr="002152BB">
        <w:rPr>
          <w:lang w:val="fr-FR"/>
        </w:rPr>
        <w:tab/>
        <w:t>Abel Campos</w:t>
      </w:r>
      <w:r w:rsidR="00E77CB3" w:rsidRPr="002152BB">
        <w:rPr>
          <w:lang w:val="fr-FR"/>
        </w:rPr>
        <w:tab/>
      </w:r>
      <w:r w:rsidRPr="002152BB">
        <w:rPr>
          <w:lang w:val="fr-FR"/>
        </w:rPr>
        <w:t>Mirjana Lazarova Trajkovska</w:t>
      </w:r>
      <w:r w:rsidR="00E77CB3" w:rsidRPr="002152BB">
        <w:rPr>
          <w:lang w:val="fr-FR"/>
        </w:rPr>
        <w:br/>
      </w:r>
      <w:r w:rsidR="00E77CB3" w:rsidRPr="002152BB">
        <w:rPr>
          <w:lang w:val="fr-FR"/>
        </w:rPr>
        <w:tab/>
      </w:r>
      <w:r w:rsidRPr="002152BB">
        <w:rPr>
          <w:lang w:val="fr-FR"/>
        </w:rPr>
        <w:t>Greffier</w:t>
      </w:r>
      <w:r w:rsidR="002152BB" w:rsidRPr="002152BB">
        <w:rPr>
          <w:lang w:val="fr-FR"/>
        </w:rPr>
        <w:tab/>
      </w:r>
      <w:r w:rsidRPr="002152BB">
        <w:rPr>
          <w:lang w:val="fr-FR"/>
        </w:rPr>
        <w:t>Présidente</w:t>
      </w:r>
    </w:p>
    <w:sectPr w:rsidR="00E77CB3" w:rsidRPr="002152BB" w:rsidSect="00FC42A7">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64" w:rsidRPr="009C5881" w:rsidRDefault="00380464" w:rsidP="00E77CB3">
      <w:pPr>
        <w:rPr>
          <w:lang w:val="fr-FR"/>
        </w:rPr>
      </w:pPr>
      <w:r w:rsidRPr="009C5881">
        <w:rPr>
          <w:lang w:val="fr-FR"/>
        </w:rPr>
        <w:separator/>
      </w:r>
    </w:p>
  </w:endnote>
  <w:endnote w:type="continuationSeparator" w:id="0">
    <w:p w:rsidR="00380464" w:rsidRPr="009C5881" w:rsidRDefault="00380464" w:rsidP="00E77CB3">
      <w:pPr>
        <w:rPr>
          <w:lang w:val="fr-FR"/>
        </w:rPr>
      </w:pPr>
      <w:r w:rsidRPr="009C588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C5" w:rsidRPr="00150BFA" w:rsidRDefault="002471C5" w:rsidP="002471C5">
    <w:pPr>
      <w:jc w:val="center"/>
    </w:pPr>
    <w:r>
      <w:rPr>
        <w:noProof/>
        <w:lang w:val="it-IT" w:eastAsia="it-IT"/>
      </w:rPr>
      <w:drawing>
        <wp:inline distT="0" distB="0" distL="0" distR="0" wp14:anchorId="71469CC1" wp14:editId="3CF88A9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471C5" w:rsidRDefault="002471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64" w:rsidRPr="009C5881" w:rsidRDefault="00380464" w:rsidP="00E77CB3">
      <w:pPr>
        <w:rPr>
          <w:lang w:val="fr-FR"/>
        </w:rPr>
      </w:pPr>
      <w:r w:rsidRPr="009C5881">
        <w:rPr>
          <w:lang w:val="fr-FR"/>
        </w:rPr>
        <w:separator/>
      </w:r>
    </w:p>
  </w:footnote>
  <w:footnote w:type="continuationSeparator" w:id="0">
    <w:p w:rsidR="00380464" w:rsidRPr="009C5881" w:rsidRDefault="00380464" w:rsidP="00E77CB3">
      <w:pPr>
        <w:rPr>
          <w:lang w:val="fr-FR"/>
        </w:rPr>
      </w:pPr>
      <w:r w:rsidRPr="009C588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C5" w:rsidRPr="00FC42A7" w:rsidRDefault="002471C5" w:rsidP="00FC42A7">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C5" w:rsidRPr="00A45145" w:rsidRDefault="002471C5" w:rsidP="002471C5">
    <w:pPr>
      <w:jc w:val="center"/>
    </w:pPr>
    <w:r>
      <w:rPr>
        <w:noProof/>
        <w:lang w:val="it-IT" w:eastAsia="it-IT"/>
      </w:rPr>
      <w:drawing>
        <wp:inline distT="0" distB="0" distL="0" distR="0" wp14:anchorId="3F9E60E3" wp14:editId="39F7C4D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471C5" w:rsidRDefault="002471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C5" w:rsidRPr="009C5881" w:rsidRDefault="002471C5" w:rsidP="00C611D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9E054A">
      <w:rPr>
        <w:rStyle w:val="Numeropagina"/>
        <w:noProof/>
        <w:lang w:val="fr-FR"/>
      </w:rPr>
      <w:t>10</w:t>
    </w:r>
    <w:r>
      <w:rPr>
        <w:rStyle w:val="Numeropagina"/>
        <w:lang w:val="fr-FR"/>
      </w:rPr>
      <w:fldChar w:fldCharType="end"/>
    </w:r>
    <w:r w:rsidRPr="009C5881">
      <w:rPr>
        <w:rStyle w:val="Numeropagina"/>
        <w:lang w:val="fr-FR"/>
      </w:rPr>
      <w:tab/>
    </w:r>
    <w:r>
      <w:rPr>
        <w:noProof/>
        <w:lang w:val="fr-FR"/>
      </w:rPr>
      <w:t>ARRÊT</w:t>
    </w:r>
    <w:r w:rsidRPr="009C5881">
      <w:rPr>
        <w:lang w:val="fr-FR"/>
      </w:rPr>
      <w:t xml:space="preserve"> </w:t>
    </w:r>
    <w:r>
      <w:rPr>
        <w:lang w:val="fr-FR"/>
      </w:rPr>
      <w:t>HUZUNEANU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C5" w:rsidRPr="009C5881" w:rsidRDefault="002471C5" w:rsidP="00C63990">
    <w:pPr>
      <w:pStyle w:val="ECHRHeader"/>
      <w:rPr>
        <w:lang w:val="fr-FR"/>
      </w:rPr>
    </w:pPr>
    <w:r w:rsidRPr="009C5881">
      <w:rPr>
        <w:lang w:val="fr-FR"/>
      </w:rPr>
      <w:tab/>
    </w:r>
    <w:r>
      <w:rPr>
        <w:noProof/>
        <w:lang w:val="fr-FR"/>
      </w:rPr>
      <w:t>ARRÊT</w:t>
    </w:r>
    <w:r w:rsidRPr="009C5881">
      <w:rPr>
        <w:lang w:val="fr-FR"/>
      </w:rPr>
      <w:t xml:space="preserve"> </w:t>
    </w:r>
    <w:r>
      <w:rPr>
        <w:lang w:val="fr-FR"/>
      </w:rPr>
      <w:t>HUZUNEANU c. ITALIE</w:t>
    </w:r>
    <w:r w:rsidRPr="009C5881">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9E054A">
      <w:rPr>
        <w:rStyle w:val="Numeropagina"/>
        <w:noProof/>
        <w:lang w:val="fr-FR"/>
      </w:rPr>
      <w:t>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1"/>
    <w:docVar w:name="DocVarPREMATURE" w:val="0"/>
    <w:docVar w:name="EMM" w:val="0"/>
    <w:docVar w:name="ETRANSMISSION" w:val="PAR VOIE ÉLECTRONIQUE UNIQUEMENT"/>
    <w:docVar w:name="L4_1Annex" w:val="0"/>
    <w:docVar w:name="L4_1Anonymity" w:val="0"/>
    <w:docVar w:name="L4_1AppNatList" w:val="roumain"/>
    <w:docVar w:name="NBEMMDOC" w:val="0"/>
    <w:docVar w:name="SignForeName" w:val="0"/>
  </w:docVars>
  <w:rsids>
    <w:rsidRoot w:val="00852B47"/>
    <w:rsid w:val="000041F8"/>
    <w:rsid w:val="000042A8"/>
    <w:rsid w:val="00004308"/>
    <w:rsid w:val="00005BF0"/>
    <w:rsid w:val="00007154"/>
    <w:rsid w:val="000103AE"/>
    <w:rsid w:val="00011353"/>
    <w:rsid w:val="00011D69"/>
    <w:rsid w:val="00012AD3"/>
    <w:rsid w:val="00014022"/>
    <w:rsid w:val="00015C2D"/>
    <w:rsid w:val="00015F00"/>
    <w:rsid w:val="00022C1D"/>
    <w:rsid w:val="00023992"/>
    <w:rsid w:val="00034987"/>
    <w:rsid w:val="00044E65"/>
    <w:rsid w:val="000602DF"/>
    <w:rsid w:val="00060DF0"/>
    <w:rsid w:val="00061B05"/>
    <w:rsid w:val="000632D5"/>
    <w:rsid w:val="000644EE"/>
    <w:rsid w:val="00066A71"/>
    <w:rsid w:val="000801CB"/>
    <w:rsid w:val="00080B74"/>
    <w:rsid w:val="000925AD"/>
    <w:rsid w:val="00093D13"/>
    <w:rsid w:val="00094312"/>
    <w:rsid w:val="00094DBF"/>
    <w:rsid w:val="000A24EB"/>
    <w:rsid w:val="000B6923"/>
    <w:rsid w:val="000C5F3C"/>
    <w:rsid w:val="000C6DCC"/>
    <w:rsid w:val="000D47AA"/>
    <w:rsid w:val="000D721F"/>
    <w:rsid w:val="000E069B"/>
    <w:rsid w:val="000E0E82"/>
    <w:rsid w:val="000E1DC5"/>
    <w:rsid w:val="000E223F"/>
    <w:rsid w:val="000E7D45"/>
    <w:rsid w:val="000F00EF"/>
    <w:rsid w:val="000F7851"/>
    <w:rsid w:val="00104E23"/>
    <w:rsid w:val="00111B0C"/>
    <w:rsid w:val="00120D6C"/>
    <w:rsid w:val="001245D4"/>
    <w:rsid w:val="001257EC"/>
    <w:rsid w:val="00133D33"/>
    <w:rsid w:val="00134D64"/>
    <w:rsid w:val="001359B3"/>
    <w:rsid w:val="00135A30"/>
    <w:rsid w:val="0013612C"/>
    <w:rsid w:val="00137FF6"/>
    <w:rsid w:val="00141650"/>
    <w:rsid w:val="001516A3"/>
    <w:rsid w:val="0016174F"/>
    <w:rsid w:val="00162A12"/>
    <w:rsid w:val="00163AD8"/>
    <w:rsid w:val="00166530"/>
    <w:rsid w:val="001832BD"/>
    <w:rsid w:val="001928F1"/>
    <w:rsid w:val="001943B5"/>
    <w:rsid w:val="00195134"/>
    <w:rsid w:val="001A145B"/>
    <w:rsid w:val="001A35BA"/>
    <w:rsid w:val="001A674C"/>
    <w:rsid w:val="001B3B24"/>
    <w:rsid w:val="001B757A"/>
    <w:rsid w:val="001C0F98"/>
    <w:rsid w:val="001C2A42"/>
    <w:rsid w:val="001C41FA"/>
    <w:rsid w:val="001D037F"/>
    <w:rsid w:val="001D63ED"/>
    <w:rsid w:val="001D7348"/>
    <w:rsid w:val="001E035B"/>
    <w:rsid w:val="001E0961"/>
    <w:rsid w:val="001E3EAE"/>
    <w:rsid w:val="001E6F32"/>
    <w:rsid w:val="001F2145"/>
    <w:rsid w:val="001F4E43"/>
    <w:rsid w:val="001F6262"/>
    <w:rsid w:val="001F67B0"/>
    <w:rsid w:val="001F7B3D"/>
    <w:rsid w:val="00204F91"/>
    <w:rsid w:val="00205F9F"/>
    <w:rsid w:val="00210338"/>
    <w:rsid w:val="002115FC"/>
    <w:rsid w:val="0021423C"/>
    <w:rsid w:val="002152BB"/>
    <w:rsid w:val="00230D00"/>
    <w:rsid w:val="00231DF7"/>
    <w:rsid w:val="00231FD1"/>
    <w:rsid w:val="002339E0"/>
    <w:rsid w:val="00233CF8"/>
    <w:rsid w:val="0023575D"/>
    <w:rsid w:val="00237148"/>
    <w:rsid w:val="0024222D"/>
    <w:rsid w:val="00244B0E"/>
    <w:rsid w:val="00244F6C"/>
    <w:rsid w:val="002471C5"/>
    <w:rsid w:val="002532C5"/>
    <w:rsid w:val="00260C03"/>
    <w:rsid w:val="0026540E"/>
    <w:rsid w:val="00275123"/>
    <w:rsid w:val="00282240"/>
    <w:rsid w:val="00291379"/>
    <w:rsid w:val="002948AD"/>
    <w:rsid w:val="002A01CC"/>
    <w:rsid w:val="002A0A2F"/>
    <w:rsid w:val="002A61B1"/>
    <w:rsid w:val="002A663C"/>
    <w:rsid w:val="002B444B"/>
    <w:rsid w:val="002B5887"/>
    <w:rsid w:val="002C0E27"/>
    <w:rsid w:val="002C3040"/>
    <w:rsid w:val="002D022D"/>
    <w:rsid w:val="002D23B6"/>
    <w:rsid w:val="002D24BB"/>
    <w:rsid w:val="002D4808"/>
    <w:rsid w:val="002E02CB"/>
    <w:rsid w:val="002F2AF7"/>
    <w:rsid w:val="002F7DA0"/>
    <w:rsid w:val="002F7E1C"/>
    <w:rsid w:val="003017BD"/>
    <w:rsid w:val="00301A75"/>
    <w:rsid w:val="00302F70"/>
    <w:rsid w:val="0030336F"/>
    <w:rsid w:val="0030375E"/>
    <w:rsid w:val="00310038"/>
    <w:rsid w:val="00311C54"/>
    <w:rsid w:val="00312A30"/>
    <w:rsid w:val="00320F72"/>
    <w:rsid w:val="0032463E"/>
    <w:rsid w:val="00326224"/>
    <w:rsid w:val="00337EE4"/>
    <w:rsid w:val="00340E90"/>
    <w:rsid w:val="00340FFD"/>
    <w:rsid w:val="00346F86"/>
    <w:rsid w:val="003506B1"/>
    <w:rsid w:val="00354F8C"/>
    <w:rsid w:val="00356AC7"/>
    <w:rsid w:val="003609FA"/>
    <w:rsid w:val="003649D0"/>
    <w:rsid w:val="003710C8"/>
    <w:rsid w:val="003750BE"/>
    <w:rsid w:val="00380464"/>
    <w:rsid w:val="00387B9D"/>
    <w:rsid w:val="0039364F"/>
    <w:rsid w:val="00396686"/>
    <w:rsid w:val="0039778E"/>
    <w:rsid w:val="003A3D57"/>
    <w:rsid w:val="003B2814"/>
    <w:rsid w:val="003B4941"/>
    <w:rsid w:val="003C397E"/>
    <w:rsid w:val="003C5714"/>
    <w:rsid w:val="003C5ADD"/>
    <w:rsid w:val="003C6B9F"/>
    <w:rsid w:val="003C6E2A"/>
    <w:rsid w:val="003D0299"/>
    <w:rsid w:val="003E6D80"/>
    <w:rsid w:val="003F05FA"/>
    <w:rsid w:val="003F244A"/>
    <w:rsid w:val="003F30B8"/>
    <w:rsid w:val="003F388C"/>
    <w:rsid w:val="003F4C45"/>
    <w:rsid w:val="003F5F7B"/>
    <w:rsid w:val="003F7D64"/>
    <w:rsid w:val="00414300"/>
    <w:rsid w:val="004147EA"/>
    <w:rsid w:val="00425C67"/>
    <w:rsid w:val="00427E7A"/>
    <w:rsid w:val="00434EC4"/>
    <w:rsid w:val="00436C49"/>
    <w:rsid w:val="00445366"/>
    <w:rsid w:val="00447F5B"/>
    <w:rsid w:val="0045067D"/>
    <w:rsid w:val="00452559"/>
    <w:rsid w:val="00461DB0"/>
    <w:rsid w:val="00463926"/>
    <w:rsid w:val="00464C9A"/>
    <w:rsid w:val="004704B3"/>
    <w:rsid w:val="004741F5"/>
    <w:rsid w:val="00474F3D"/>
    <w:rsid w:val="00477E3A"/>
    <w:rsid w:val="00483E5F"/>
    <w:rsid w:val="00485FF9"/>
    <w:rsid w:val="00487310"/>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469C"/>
    <w:rsid w:val="004E5E9F"/>
    <w:rsid w:val="004F10AF"/>
    <w:rsid w:val="004F11A4"/>
    <w:rsid w:val="004F2389"/>
    <w:rsid w:val="004F2979"/>
    <w:rsid w:val="004F304D"/>
    <w:rsid w:val="004F61BE"/>
    <w:rsid w:val="004F66B1"/>
    <w:rsid w:val="00507A77"/>
    <w:rsid w:val="00511C07"/>
    <w:rsid w:val="00516C34"/>
    <w:rsid w:val="005173A6"/>
    <w:rsid w:val="00520BAA"/>
    <w:rsid w:val="00523A8B"/>
    <w:rsid w:val="00525208"/>
    <w:rsid w:val="005257A5"/>
    <w:rsid w:val="005264C0"/>
    <w:rsid w:val="00526A8A"/>
    <w:rsid w:val="00526AC4"/>
    <w:rsid w:val="00531DF2"/>
    <w:rsid w:val="005442EE"/>
    <w:rsid w:val="00547353"/>
    <w:rsid w:val="005474E7"/>
    <w:rsid w:val="005512A3"/>
    <w:rsid w:val="005578CE"/>
    <w:rsid w:val="00562781"/>
    <w:rsid w:val="0057271C"/>
    <w:rsid w:val="00572845"/>
    <w:rsid w:val="00574C83"/>
    <w:rsid w:val="00581CC5"/>
    <w:rsid w:val="00586D74"/>
    <w:rsid w:val="00592772"/>
    <w:rsid w:val="0059574A"/>
    <w:rsid w:val="00596468"/>
    <w:rsid w:val="005A02CB"/>
    <w:rsid w:val="005A1B9B"/>
    <w:rsid w:val="005A6751"/>
    <w:rsid w:val="005B092E"/>
    <w:rsid w:val="005B152C"/>
    <w:rsid w:val="005B1EE0"/>
    <w:rsid w:val="005B2B24"/>
    <w:rsid w:val="005B4425"/>
    <w:rsid w:val="005B4B94"/>
    <w:rsid w:val="005C3EE8"/>
    <w:rsid w:val="005C629E"/>
    <w:rsid w:val="005D34F9"/>
    <w:rsid w:val="005D4190"/>
    <w:rsid w:val="005D67A3"/>
    <w:rsid w:val="005E2988"/>
    <w:rsid w:val="005E3085"/>
    <w:rsid w:val="005E37C6"/>
    <w:rsid w:val="005F51E1"/>
    <w:rsid w:val="005F6A72"/>
    <w:rsid w:val="00611C80"/>
    <w:rsid w:val="00620692"/>
    <w:rsid w:val="006242CA"/>
    <w:rsid w:val="00627507"/>
    <w:rsid w:val="00633717"/>
    <w:rsid w:val="006344E1"/>
    <w:rsid w:val="00652116"/>
    <w:rsid w:val="0065298D"/>
    <w:rsid w:val="006545C4"/>
    <w:rsid w:val="00661971"/>
    <w:rsid w:val="00661CE8"/>
    <w:rsid w:val="006623D9"/>
    <w:rsid w:val="0066550C"/>
    <w:rsid w:val="00667B26"/>
    <w:rsid w:val="006716F2"/>
    <w:rsid w:val="006723C7"/>
    <w:rsid w:val="00682BF2"/>
    <w:rsid w:val="006859CE"/>
    <w:rsid w:val="00691270"/>
    <w:rsid w:val="0069372A"/>
    <w:rsid w:val="00694A2E"/>
    <w:rsid w:val="00694BA8"/>
    <w:rsid w:val="006A037C"/>
    <w:rsid w:val="006A077C"/>
    <w:rsid w:val="006A2B40"/>
    <w:rsid w:val="006A36F4"/>
    <w:rsid w:val="006A406F"/>
    <w:rsid w:val="006A5D3A"/>
    <w:rsid w:val="006C1BCB"/>
    <w:rsid w:val="006C23D4"/>
    <w:rsid w:val="006C64BE"/>
    <w:rsid w:val="006C71A4"/>
    <w:rsid w:val="006C7BB0"/>
    <w:rsid w:val="006D3237"/>
    <w:rsid w:val="006E2E37"/>
    <w:rsid w:val="006E3CF1"/>
    <w:rsid w:val="006E6A89"/>
    <w:rsid w:val="006E79FB"/>
    <w:rsid w:val="006E7E80"/>
    <w:rsid w:val="006F48CA"/>
    <w:rsid w:val="006F64DD"/>
    <w:rsid w:val="006F6EDC"/>
    <w:rsid w:val="00703B58"/>
    <w:rsid w:val="00711B9F"/>
    <w:rsid w:val="00715127"/>
    <w:rsid w:val="00715E8E"/>
    <w:rsid w:val="00723580"/>
    <w:rsid w:val="00723755"/>
    <w:rsid w:val="00730A0F"/>
    <w:rsid w:val="0073136C"/>
    <w:rsid w:val="00731F0F"/>
    <w:rsid w:val="00733250"/>
    <w:rsid w:val="00741404"/>
    <w:rsid w:val="007449E5"/>
    <w:rsid w:val="00747FF0"/>
    <w:rsid w:val="00763E33"/>
    <w:rsid w:val="00764D4E"/>
    <w:rsid w:val="00765A1F"/>
    <w:rsid w:val="00775B6D"/>
    <w:rsid w:val="00776D68"/>
    <w:rsid w:val="007850EE"/>
    <w:rsid w:val="00785B95"/>
    <w:rsid w:val="00790E96"/>
    <w:rsid w:val="00793366"/>
    <w:rsid w:val="007952DA"/>
    <w:rsid w:val="00796821"/>
    <w:rsid w:val="007A716F"/>
    <w:rsid w:val="007B270A"/>
    <w:rsid w:val="007B4B56"/>
    <w:rsid w:val="007C0695"/>
    <w:rsid w:val="007C2C01"/>
    <w:rsid w:val="007C419A"/>
    <w:rsid w:val="007C4CC8"/>
    <w:rsid w:val="007C5426"/>
    <w:rsid w:val="007C5798"/>
    <w:rsid w:val="007D4832"/>
    <w:rsid w:val="007E21B2"/>
    <w:rsid w:val="007E2C4E"/>
    <w:rsid w:val="007E3ED4"/>
    <w:rsid w:val="007E48C2"/>
    <w:rsid w:val="007F1905"/>
    <w:rsid w:val="007F4F51"/>
    <w:rsid w:val="00801300"/>
    <w:rsid w:val="00802C64"/>
    <w:rsid w:val="00805E52"/>
    <w:rsid w:val="008061D0"/>
    <w:rsid w:val="00810B38"/>
    <w:rsid w:val="008204C7"/>
    <w:rsid w:val="00820992"/>
    <w:rsid w:val="00823602"/>
    <w:rsid w:val="008255F5"/>
    <w:rsid w:val="00826CF7"/>
    <w:rsid w:val="0083014E"/>
    <w:rsid w:val="0083214A"/>
    <w:rsid w:val="00834220"/>
    <w:rsid w:val="0084351A"/>
    <w:rsid w:val="00845723"/>
    <w:rsid w:val="00851EF9"/>
    <w:rsid w:val="00852B47"/>
    <w:rsid w:val="008577FD"/>
    <w:rsid w:val="00860B03"/>
    <w:rsid w:val="0086497A"/>
    <w:rsid w:val="008713A1"/>
    <w:rsid w:val="008719D5"/>
    <w:rsid w:val="008754AB"/>
    <w:rsid w:val="00875AB3"/>
    <w:rsid w:val="0088060C"/>
    <w:rsid w:val="00891DC4"/>
    <w:rsid w:val="00893576"/>
    <w:rsid w:val="00893E73"/>
    <w:rsid w:val="008A5B61"/>
    <w:rsid w:val="008B02DC"/>
    <w:rsid w:val="008B57CE"/>
    <w:rsid w:val="008C26DE"/>
    <w:rsid w:val="008D2225"/>
    <w:rsid w:val="008D4752"/>
    <w:rsid w:val="008D7298"/>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5A4"/>
    <w:rsid w:val="00926AD5"/>
    <w:rsid w:val="00926F38"/>
    <w:rsid w:val="00932366"/>
    <w:rsid w:val="00934301"/>
    <w:rsid w:val="00936C2D"/>
    <w:rsid w:val="00936CD1"/>
    <w:rsid w:val="0093774A"/>
    <w:rsid w:val="00941747"/>
    <w:rsid w:val="00941EFB"/>
    <w:rsid w:val="0094489E"/>
    <w:rsid w:val="00947AFB"/>
    <w:rsid w:val="00951D7D"/>
    <w:rsid w:val="009569FA"/>
    <w:rsid w:val="009630C7"/>
    <w:rsid w:val="009704D6"/>
    <w:rsid w:val="00972B55"/>
    <w:rsid w:val="009743B7"/>
    <w:rsid w:val="0098228B"/>
    <w:rsid w:val="009828DA"/>
    <w:rsid w:val="00985BAB"/>
    <w:rsid w:val="00995856"/>
    <w:rsid w:val="009A2D0B"/>
    <w:rsid w:val="009B1B5F"/>
    <w:rsid w:val="009B6673"/>
    <w:rsid w:val="009C191B"/>
    <w:rsid w:val="009C2BD6"/>
    <w:rsid w:val="009C5881"/>
    <w:rsid w:val="009C5CE8"/>
    <w:rsid w:val="009E054A"/>
    <w:rsid w:val="009E1F32"/>
    <w:rsid w:val="009E776C"/>
    <w:rsid w:val="00A00144"/>
    <w:rsid w:val="00A1726E"/>
    <w:rsid w:val="00A204CF"/>
    <w:rsid w:val="00A20D65"/>
    <w:rsid w:val="00A23D49"/>
    <w:rsid w:val="00A27004"/>
    <w:rsid w:val="00A30C29"/>
    <w:rsid w:val="00A34DD6"/>
    <w:rsid w:val="00A36819"/>
    <w:rsid w:val="00A36989"/>
    <w:rsid w:val="00A43308"/>
    <w:rsid w:val="00A43628"/>
    <w:rsid w:val="00A54192"/>
    <w:rsid w:val="00A6035E"/>
    <w:rsid w:val="00A6144C"/>
    <w:rsid w:val="00A66617"/>
    <w:rsid w:val="00A671F8"/>
    <w:rsid w:val="00A673A4"/>
    <w:rsid w:val="00A67531"/>
    <w:rsid w:val="00A724AE"/>
    <w:rsid w:val="00A73329"/>
    <w:rsid w:val="00A74BC1"/>
    <w:rsid w:val="00A819E0"/>
    <w:rsid w:val="00A82359"/>
    <w:rsid w:val="00A8282D"/>
    <w:rsid w:val="00A865D2"/>
    <w:rsid w:val="00A92CC9"/>
    <w:rsid w:val="00A94C20"/>
    <w:rsid w:val="00AA227F"/>
    <w:rsid w:val="00AA3BC7"/>
    <w:rsid w:val="00AA754A"/>
    <w:rsid w:val="00AB099E"/>
    <w:rsid w:val="00AB4328"/>
    <w:rsid w:val="00AC0824"/>
    <w:rsid w:val="00AC22CC"/>
    <w:rsid w:val="00AC4EBF"/>
    <w:rsid w:val="00AD412E"/>
    <w:rsid w:val="00AE0A2E"/>
    <w:rsid w:val="00AE354C"/>
    <w:rsid w:val="00AF279F"/>
    <w:rsid w:val="00AF4B07"/>
    <w:rsid w:val="00AF5CC8"/>
    <w:rsid w:val="00AF6186"/>
    <w:rsid w:val="00AF7A3A"/>
    <w:rsid w:val="00B13A4F"/>
    <w:rsid w:val="00B160DB"/>
    <w:rsid w:val="00B169F3"/>
    <w:rsid w:val="00B20836"/>
    <w:rsid w:val="00B235BB"/>
    <w:rsid w:val="00B249B2"/>
    <w:rsid w:val="00B27A44"/>
    <w:rsid w:val="00B30BBF"/>
    <w:rsid w:val="00B33C03"/>
    <w:rsid w:val="00B37791"/>
    <w:rsid w:val="00B44E56"/>
    <w:rsid w:val="00B46543"/>
    <w:rsid w:val="00B47D33"/>
    <w:rsid w:val="00B52BE0"/>
    <w:rsid w:val="00B54133"/>
    <w:rsid w:val="00B57499"/>
    <w:rsid w:val="00B701ED"/>
    <w:rsid w:val="00B8086C"/>
    <w:rsid w:val="00B861B4"/>
    <w:rsid w:val="00B86DFE"/>
    <w:rsid w:val="00B90990"/>
    <w:rsid w:val="00B922FF"/>
    <w:rsid w:val="00B9281E"/>
    <w:rsid w:val="00B93925"/>
    <w:rsid w:val="00B93ECF"/>
    <w:rsid w:val="00B95187"/>
    <w:rsid w:val="00B9776F"/>
    <w:rsid w:val="00BA2D55"/>
    <w:rsid w:val="00BA4D9F"/>
    <w:rsid w:val="00BA71B1"/>
    <w:rsid w:val="00BB0637"/>
    <w:rsid w:val="00BB345F"/>
    <w:rsid w:val="00BB68EA"/>
    <w:rsid w:val="00BC1C27"/>
    <w:rsid w:val="00BC4A8F"/>
    <w:rsid w:val="00BC6BBF"/>
    <w:rsid w:val="00BD1572"/>
    <w:rsid w:val="00BD79DC"/>
    <w:rsid w:val="00BE14E3"/>
    <w:rsid w:val="00BE3774"/>
    <w:rsid w:val="00BE41E5"/>
    <w:rsid w:val="00BF4109"/>
    <w:rsid w:val="00BF4CC3"/>
    <w:rsid w:val="00C054C7"/>
    <w:rsid w:val="00C057B5"/>
    <w:rsid w:val="00C06E15"/>
    <w:rsid w:val="00C1262B"/>
    <w:rsid w:val="00C16126"/>
    <w:rsid w:val="00C22687"/>
    <w:rsid w:val="00C32E4D"/>
    <w:rsid w:val="00C333A0"/>
    <w:rsid w:val="00C36408"/>
    <w:rsid w:val="00C36A81"/>
    <w:rsid w:val="00C408EE"/>
    <w:rsid w:val="00C41974"/>
    <w:rsid w:val="00C53F4A"/>
    <w:rsid w:val="00C54125"/>
    <w:rsid w:val="00C55B54"/>
    <w:rsid w:val="00C6098E"/>
    <w:rsid w:val="00C611D8"/>
    <w:rsid w:val="00C6152C"/>
    <w:rsid w:val="00C63990"/>
    <w:rsid w:val="00C64EF6"/>
    <w:rsid w:val="00C65050"/>
    <w:rsid w:val="00C720BE"/>
    <w:rsid w:val="00C74810"/>
    <w:rsid w:val="00C90D68"/>
    <w:rsid w:val="00C91CD8"/>
    <w:rsid w:val="00C9361E"/>
    <w:rsid w:val="00C939FE"/>
    <w:rsid w:val="00CA4BDA"/>
    <w:rsid w:val="00CB1F66"/>
    <w:rsid w:val="00CB2951"/>
    <w:rsid w:val="00CB2CBC"/>
    <w:rsid w:val="00CC3FE5"/>
    <w:rsid w:val="00CC6C8C"/>
    <w:rsid w:val="00CC71E6"/>
    <w:rsid w:val="00CD282B"/>
    <w:rsid w:val="00CD4581"/>
    <w:rsid w:val="00CD4C35"/>
    <w:rsid w:val="00CD5BEE"/>
    <w:rsid w:val="00CD7369"/>
    <w:rsid w:val="00CE0B0E"/>
    <w:rsid w:val="00CE3831"/>
    <w:rsid w:val="00D00ABB"/>
    <w:rsid w:val="00D02EEC"/>
    <w:rsid w:val="00D03551"/>
    <w:rsid w:val="00D06A63"/>
    <w:rsid w:val="00D07E0E"/>
    <w:rsid w:val="00D11478"/>
    <w:rsid w:val="00D15ED0"/>
    <w:rsid w:val="00D16BA9"/>
    <w:rsid w:val="00D21B3E"/>
    <w:rsid w:val="00D21FED"/>
    <w:rsid w:val="00D24251"/>
    <w:rsid w:val="00D250D7"/>
    <w:rsid w:val="00D3250B"/>
    <w:rsid w:val="00D343E2"/>
    <w:rsid w:val="00D361A2"/>
    <w:rsid w:val="00D37C1F"/>
    <w:rsid w:val="00D42AFF"/>
    <w:rsid w:val="00D44C2E"/>
    <w:rsid w:val="00D45414"/>
    <w:rsid w:val="00D566BD"/>
    <w:rsid w:val="00D576CF"/>
    <w:rsid w:val="00D57A4D"/>
    <w:rsid w:val="00D60AA7"/>
    <w:rsid w:val="00D6435F"/>
    <w:rsid w:val="00D66CF8"/>
    <w:rsid w:val="00D75E28"/>
    <w:rsid w:val="00D772C2"/>
    <w:rsid w:val="00D8008E"/>
    <w:rsid w:val="00D82C45"/>
    <w:rsid w:val="00D908A8"/>
    <w:rsid w:val="00D977B6"/>
    <w:rsid w:val="00DA1366"/>
    <w:rsid w:val="00DA4A31"/>
    <w:rsid w:val="00DA7B04"/>
    <w:rsid w:val="00DB36C2"/>
    <w:rsid w:val="00DC0D9E"/>
    <w:rsid w:val="00DC169B"/>
    <w:rsid w:val="00DC2AB9"/>
    <w:rsid w:val="00DC63F0"/>
    <w:rsid w:val="00DD4AAB"/>
    <w:rsid w:val="00DD5146"/>
    <w:rsid w:val="00DD6EE5"/>
    <w:rsid w:val="00DE386C"/>
    <w:rsid w:val="00DE4D35"/>
    <w:rsid w:val="00DF098B"/>
    <w:rsid w:val="00DF11C4"/>
    <w:rsid w:val="00DF210C"/>
    <w:rsid w:val="00DF2566"/>
    <w:rsid w:val="00DF4B6A"/>
    <w:rsid w:val="00DF6669"/>
    <w:rsid w:val="00E01E65"/>
    <w:rsid w:val="00E02C09"/>
    <w:rsid w:val="00E04D59"/>
    <w:rsid w:val="00E0705F"/>
    <w:rsid w:val="00E07DA1"/>
    <w:rsid w:val="00E10F0C"/>
    <w:rsid w:val="00E123CB"/>
    <w:rsid w:val="00E20E13"/>
    <w:rsid w:val="00E21DBC"/>
    <w:rsid w:val="00E275D7"/>
    <w:rsid w:val="00E27DBE"/>
    <w:rsid w:val="00E32AB1"/>
    <w:rsid w:val="00E36C71"/>
    <w:rsid w:val="00E40404"/>
    <w:rsid w:val="00E40595"/>
    <w:rsid w:val="00E4529A"/>
    <w:rsid w:val="00E459C6"/>
    <w:rsid w:val="00E47589"/>
    <w:rsid w:val="00E63C04"/>
    <w:rsid w:val="00E64915"/>
    <w:rsid w:val="00E658CE"/>
    <w:rsid w:val="00E661D4"/>
    <w:rsid w:val="00E70091"/>
    <w:rsid w:val="00E720F5"/>
    <w:rsid w:val="00E76D47"/>
    <w:rsid w:val="00E77CB3"/>
    <w:rsid w:val="00E81457"/>
    <w:rsid w:val="00E849F7"/>
    <w:rsid w:val="00E90302"/>
    <w:rsid w:val="00E97396"/>
    <w:rsid w:val="00EA185E"/>
    <w:rsid w:val="00EA592A"/>
    <w:rsid w:val="00EB14E4"/>
    <w:rsid w:val="00EB32A5"/>
    <w:rsid w:val="00EB34ED"/>
    <w:rsid w:val="00EB5F70"/>
    <w:rsid w:val="00EB7BE0"/>
    <w:rsid w:val="00EB7E63"/>
    <w:rsid w:val="00EC315E"/>
    <w:rsid w:val="00ED077C"/>
    <w:rsid w:val="00ED1190"/>
    <w:rsid w:val="00ED6544"/>
    <w:rsid w:val="00EE0277"/>
    <w:rsid w:val="00EE3E00"/>
    <w:rsid w:val="00EE5DD2"/>
    <w:rsid w:val="00EF0A2E"/>
    <w:rsid w:val="00EF63C2"/>
    <w:rsid w:val="00EF7DDE"/>
    <w:rsid w:val="00F00A79"/>
    <w:rsid w:val="00F00E86"/>
    <w:rsid w:val="00F07C1E"/>
    <w:rsid w:val="00F105DB"/>
    <w:rsid w:val="00F132BC"/>
    <w:rsid w:val="00F13D80"/>
    <w:rsid w:val="00F16AAA"/>
    <w:rsid w:val="00F21161"/>
    <w:rsid w:val="00F218EF"/>
    <w:rsid w:val="00F21BC7"/>
    <w:rsid w:val="00F266A2"/>
    <w:rsid w:val="00F32269"/>
    <w:rsid w:val="00F43FBE"/>
    <w:rsid w:val="00F56A6F"/>
    <w:rsid w:val="00F5709C"/>
    <w:rsid w:val="00F64EF1"/>
    <w:rsid w:val="00F8765F"/>
    <w:rsid w:val="00F903BA"/>
    <w:rsid w:val="00F90767"/>
    <w:rsid w:val="00FA685B"/>
    <w:rsid w:val="00FB0C01"/>
    <w:rsid w:val="00FB2B45"/>
    <w:rsid w:val="00FC18F2"/>
    <w:rsid w:val="00FC39E5"/>
    <w:rsid w:val="00FC3A78"/>
    <w:rsid w:val="00FC42A7"/>
    <w:rsid w:val="00FC658B"/>
    <w:rsid w:val="00FD1005"/>
    <w:rsid w:val="00FD6C75"/>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310038"/>
    <w:pPr>
      <w:jc w:val="both"/>
    </w:pPr>
    <w:rPr>
      <w:rFonts w:eastAsiaTheme="minorEastAsia"/>
      <w:sz w:val="24"/>
    </w:rPr>
  </w:style>
  <w:style w:type="paragraph" w:styleId="Titolo1">
    <w:name w:val="heading 1"/>
    <w:basedOn w:val="Normale"/>
    <w:next w:val="Normale"/>
    <w:link w:val="Titolo1Carattere"/>
    <w:uiPriority w:val="99"/>
    <w:semiHidden/>
    <w:rsid w:val="0031003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1003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10038"/>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10038"/>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10038"/>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31003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10038"/>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31003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31003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100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0038"/>
    <w:rPr>
      <w:rFonts w:ascii="Tahoma" w:eastAsiaTheme="minorEastAsia" w:hAnsi="Tahoma" w:cs="Tahoma"/>
      <w:sz w:val="16"/>
      <w:szCs w:val="16"/>
    </w:rPr>
  </w:style>
  <w:style w:type="character" w:styleId="Titolodellibro">
    <w:name w:val="Book Title"/>
    <w:uiPriority w:val="99"/>
    <w:semiHidden/>
    <w:qFormat/>
    <w:rsid w:val="00310038"/>
    <w:rPr>
      <w:i/>
      <w:iCs/>
      <w:smallCaps/>
      <w:spacing w:val="5"/>
    </w:rPr>
  </w:style>
  <w:style w:type="paragraph" w:customStyle="1" w:styleId="ECHRHeader">
    <w:name w:val="ECHR_Header"/>
    <w:aliases w:val="Ju_Header"/>
    <w:basedOn w:val="Intestazione"/>
    <w:uiPriority w:val="4"/>
    <w:qFormat/>
    <w:rsid w:val="00310038"/>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310038"/>
    <w:pPr>
      <w:jc w:val="left"/>
    </w:pPr>
    <w:rPr>
      <w:sz w:val="8"/>
    </w:rPr>
  </w:style>
  <w:style w:type="character" w:styleId="Enfasigrassetto">
    <w:name w:val="Strong"/>
    <w:uiPriority w:val="99"/>
    <w:semiHidden/>
    <w:qFormat/>
    <w:rsid w:val="00310038"/>
    <w:rPr>
      <w:b/>
      <w:bCs/>
    </w:rPr>
  </w:style>
  <w:style w:type="paragraph" w:styleId="Nessunaspaziatura">
    <w:name w:val="No Spacing"/>
    <w:basedOn w:val="Normale"/>
    <w:link w:val="NessunaspaziaturaCarattere"/>
    <w:semiHidden/>
    <w:qFormat/>
    <w:rsid w:val="00310038"/>
    <w:rPr>
      <w:sz w:val="22"/>
    </w:rPr>
  </w:style>
  <w:style w:type="character" w:customStyle="1" w:styleId="NessunaspaziaturaCarattere">
    <w:name w:val="Nessuna spaziatura Carattere"/>
    <w:basedOn w:val="Carpredefinitoparagrafo"/>
    <w:link w:val="Nessunaspaziatura"/>
    <w:semiHidden/>
    <w:rsid w:val="00310038"/>
    <w:rPr>
      <w:rFonts w:eastAsiaTheme="minorEastAsia"/>
    </w:rPr>
  </w:style>
  <w:style w:type="paragraph" w:customStyle="1" w:styleId="ECHRFooterLine">
    <w:name w:val="ECHR_Footer_Line"/>
    <w:aliases w:val="Footer_Line"/>
    <w:basedOn w:val="Normale"/>
    <w:next w:val="ECHRFooter"/>
    <w:uiPriority w:val="57"/>
    <w:semiHidden/>
    <w:rsid w:val="00310038"/>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310038"/>
  </w:style>
  <w:style w:type="paragraph" w:customStyle="1" w:styleId="DecList">
    <w:name w:val="Dec_List"/>
    <w:basedOn w:val="Normale"/>
    <w:uiPriority w:val="9"/>
    <w:semiHidden/>
    <w:qFormat/>
    <w:rsid w:val="00310038"/>
    <w:pPr>
      <w:spacing w:before="240"/>
      <w:ind w:left="284"/>
    </w:pPr>
  </w:style>
  <w:style w:type="paragraph" w:customStyle="1" w:styleId="DummyStyle">
    <w:name w:val="Dummy_Style"/>
    <w:basedOn w:val="Normale"/>
    <w:semiHidden/>
    <w:qFormat/>
    <w:rsid w:val="00310038"/>
    <w:rPr>
      <w:color w:val="00B050"/>
    </w:rPr>
  </w:style>
  <w:style w:type="paragraph" w:customStyle="1" w:styleId="ECHRTitleCentre3">
    <w:name w:val="ECHR_Title_Centre_3"/>
    <w:aliases w:val="Ju_H_Article"/>
    <w:basedOn w:val="Normale"/>
    <w:next w:val="ECHRParaQuote"/>
    <w:uiPriority w:val="27"/>
    <w:qFormat/>
    <w:rsid w:val="0031003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310038"/>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310038"/>
    <w:pPr>
      <w:numPr>
        <w:numId w:val="16"/>
      </w:numPr>
      <w:jc w:val="left"/>
    </w:pPr>
    <w:rPr>
      <w:b/>
    </w:rPr>
  </w:style>
  <w:style w:type="paragraph" w:customStyle="1" w:styleId="JuCourt">
    <w:name w:val="Ju_Court"/>
    <w:basedOn w:val="Normale"/>
    <w:next w:val="Normale"/>
    <w:uiPriority w:val="16"/>
    <w:qFormat/>
    <w:rsid w:val="00310038"/>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310038"/>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310038"/>
    <w:pPr>
      <w:spacing w:after="240"/>
      <w:jc w:val="center"/>
      <w:outlineLvl w:val="0"/>
    </w:pPr>
    <w:rPr>
      <w:rFonts w:asciiTheme="majorHAnsi" w:hAnsiTheme="majorHAnsi"/>
      <w:i/>
    </w:rPr>
  </w:style>
  <w:style w:type="paragraph" w:customStyle="1" w:styleId="JuInitialled">
    <w:name w:val="Ju_Initialled"/>
    <w:basedOn w:val="Normale"/>
    <w:uiPriority w:val="31"/>
    <w:qFormat/>
    <w:rsid w:val="00310038"/>
    <w:pPr>
      <w:tabs>
        <w:tab w:val="center" w:pos="6407"/>
      </w:tabs>
      <w:spacing w:before="720"/>
      <w:jc w:val="right"/>
    </w:pPr>
  </w:style>
  <w:style w:type="paragraph" w:styleId="Titolo">
    <w:name w:val="Title"/>
    <w:basedOn w:val="Normale"/>
    <w:next w:val="Normale"/>
    <w:link w:val="TitoloCarattere"/>
    <w:uiPriority w:val="99"/>
    <w:semiHidden/>
    <w:qFormat/>
    <w:rsid w:val="0031003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310038"/>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link w:val="JuH1Char"/>
    <w:uiPriority w:val="21"/>
    <w:qFormat/>
    <w:rsid w:val="0031003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31003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31003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310038"/>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310038"/>
    <w:pPr>
      <w:keepNext/>
      <w:keepLines/>
      <w:spacing w:before="240" w:after="120"/>
      <w:ind w:left="1236"/>
    </w:pPr>
    <w:rPr>
      <w:sz w:val="20"/>
    </w:rPr>
  </w:style>
  <w:style w:type="character" w:customStyle="1" w:styleId="JuITMark">
    <w:name w:val="Ju_ITMark"/>
    <w:basedOn w:val="Carpredefinitoparagrafo"/>
    <w:uiPriority w:val="38"/>
    <w:qFormat/>
    <w:rsid w:val="00310038"/>
    <w:rPr>
      <w:vanish w:val="0"/>
      <w:color w:val="auto"/>
      <w:sz w:val="14"/>
    </w:rPr>
  </w:style>
  <w:style w:type="paragraph" w:customStyle="1" w:styleId="JuLista">
    <w:name w:val="Ju_List_a"/>
    <w:basedOn w:val="JuList"/>
    <w:uiPriority w:val="28"/>
    <w:qFormat/>
    <w:rsid w:val="00310038"/>
    <w:pPr>
      <w:ind w:left="346" w:firstLine="0"/>
    </w:pPr>
  </w:style>
  <w:style w:type="paragraph" w:customStyle="1" w:styleId="JuListi">
    <w:name w:val="Ju_List_i"/>
    <w:basedOn w:val="Normale"/>
    <w:next w:val="JuLista"/>
    <w:uiPriority w:val="28"/>
    <w:qFormat/>
    <w:rsid w:val="00310038"/>
    <w:pPr>
      <w:ind w:left="794"/>
    </w:pPr>
  </w:style>
  <w:style w:type="paragraph" w:styleId="Intestazione">
    <w:name w:val="header"/>
    <w:basedOn w:val="Normale"/>
    <w:link w:val="IntestazioneCarattere"/>
    <w:uiPriority w:val="57"/>
    <w:semiHidden/>
    <w:rsid w:val="00310038"/>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310038"/>
    <w:rPr>
      <w:sz w:val="24"/>
    </w:rPr>
  </w:style>
  <w:style w:type="character" w:customStyle="1" w:styleId="Titolo1Carattere">
    <w:name w:val="Titolo 1 Carattere"/>
    <w:basedOn w:val="Carpredefinitoparagrafo"/>
    <w:link w:val="Titolo1"/>
    <w:uiPriority w:val="99"/>
    <w:semiHidden/>
    <w:rsid w:val="0031003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31003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link w:val="JuHAChar"/>
    <w:uiPriority w:val="20"/>
    <w:qFormat/>
    <w:rsid w:val="00310038"/>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310038"/>
    <w:rPr>
      <w:rFonts w:asciiTheme="majorHAnsi" w:eastAsiaTheme="majorEastAsia" w:hAnsiTheme="majorHAnsi" w:cstheme="majorBidi"/>
      <w:b/>
      <w:bCs/>
      <w:color w:val="4D4D4D"/>
      <w:sz w:val="26"/>
      <w:szCs w:val="26"/>
    </w:rPr>
  </w:style>
  <w:style w:type="character" w:customStyle="1" w:styleId="JUNAMES">
    <w:name w:val="JU_NAMES"/>
    <w:uiPriority w:val="17"/>
    <w:qFormat/>
    <w:rsid w:val="00310038"/>
    <w:rPr>
      <w:caps w:val="0"/>
      <w:smallCaps/>
    </w:rPr>
  </w:style>
  <w:style w:type="paragraph" w:customStyle="1" w:styleId="ECHRDecisionBody">
    <w:name w:val="ECHR_Decision_Body"/>
    <w:aliases w:val="Ju_Judges"/>
    <w:basedOn w:val="Normale"/>
    <w:uiPriority w:val="11"/>
    <w:qFormat/>
    <w:rsid w:val="00310038"/>
    <w:pPr>
      <w:tabs>
        <w:tab w:val="left" w:pos="567"/>
        <w:tab w:val="left" w:pos="1134"/>
      </w:tabs>
      <w:jc w:val="left"/>
    </w:pPr>
  </w:style>
  <w:style w:type="character" w:customStyle="1" w:styleId="Titolo3Carattere">
    <w:name w:val="Titolo 3 Carattere"/>
    <w:basedOn w:val="Carpredefinitoparagrafo"/>
    <w:link w:val="Titolo3"/>
    <w:uiPriority w:val="99"/>
    <w:semiHidden/>
    <w:rsid w:val="00310038"/>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310038"/>
    <w:pPr>
      <w:ind w:firstLine="284"/>
    </w:pPr>
  </w:style>
  <w:style w:type="character" w:customStyle="1" w:styleId="Titolo4Carattere">
    <w:name w:val="Titolo 4 Carattere"/>
    <w:basedOn w:val="Carpredefinitoparagrafo"/>
    <w:link w:val="Titolo4"/>
    <w:uiPriority w:val="99"/>
    <w:semiHidden/>
    <w:rsid w:val="00310038"/>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310038"/>
    <w:rPr>
      <w:rFonts w:asciiTheme="majorHAnsi" w:eastAsiaTheme="majorEastAsia" w:hAnsiTheme="majorHAnsi" w:cstheme="majorBidi"/>
      <w:b/>
      <w:bCs/>
      <w:color w:val="808080"/>
    </w:rPr>
  </w:style>
  <w:style w:type="character" w:styleId="Enfasidelicata">
    <w:name w:val="Subtle Emphasis"/>
    <w:uiPriority w:val="99"/>
    <w:semiHidden/>
    <w:qFormat/>
    <w:rsid w:val="00310038"/>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310038"/>
    <w:pPr>
      <w:keepNext/>
      <w:keepLines/>
      <w:spacing w:before="720" w:after="240"/>
      <w:outlineLvl w:val="0"/>
    </w:pPr>
    <w:rPr>
      <w:rFonts w:asciiTheme="majorHAnsi" w:hAnsiTheme="majorHAnsi"/>
      <w:sz w:val="28"/>
    </w:rPr>
  </w:style>
  <w:style w:type="character" w:styleId="Enfasicorsivo">
    <w:name w:val="Emphasis"/>
    <w:uiPriority w:val="99"/>
    <w:semiHidden/>
    <w:qFormat/>
    <w:rsid w:val="00310038"/>
    <w:rPr>
      <w:b/>
      <w:bCs/>
      <w:i/>
      <w:iCs/>
      <w:spacing w:val="10"/>
      <w:bdr w:val="none" w:sz="0" w:space="0" w:color="auto"/>
      <w:shd w:val="clear" w:color="auto" w:fill="auto"/>
    </w:rPr>
  </w:style>
  <w:style w:type="paragraph" w:styleId="Pidipagina">
    <w:name w:val="footer"/>
    <w:basedOn w:val="Normale"/>
    <w:link w:val="PidipaginaCarattere"/>
    <w:uiPriority w:val="57"/>
    <w:semiHidden/>
    <w:rsid w:val="00310038"/>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310038"/>
    <w:rPr>
      <w:sz w:val="24"/>
    </w:rPr>
  </w:style>
  <w:style w:type="character" w:styleId="Rimandonotaapidipagina">
    <w:name w:val="footnote reference"/>
    <w:basedOn w:val="Carpredefinitoparagrafo"/>
    <w:uiPriority w:val="99"/>
    <w:semiHidden/>
    <w:rsid w:val="00310038"/>
    <w:rPr>
      <w:vertAlign w:val="superscript"/>
    </w:rPr>
  </w:style>
  <w:style w:type="paragraph" w:styleId="Testonotaapidipagina">
    <w:name w:val="footnote text"/>
    <w:basedOn w:val="Normale"/>
    <w:link w:val="TestonotaapidipaginaCarattere"/>
    <w:uiPriority w:val="99"/>
    <w:semiHidden/>
    <w:rsid w:val="00310038"/>
    <w:rPr>
      <w:sz w:val="20"/>
      <w:szCs w:val="20"/>
    </w:rPr>
  </w:style>
  <w:style w:type="character" w:customStyle="1" w:styleId="TestonotaapidipaginaCarattere">
    <w:name w:val="Testo nota a piè di pagina Carattere"/>
    <w:basedOn w:val="Carpredefinitoparagrafo"/>
    <w:link w:val="Testonotaapidipagina"/>
    <w:uiPriority w:val="99"/>
    <w:semiHidden/>
    <w:rsid w:val="00310038"/>
    <w:rPr>
      <w:rFonts w:eastAsiaTheme="minorEastAsia"/>
      <w:sz w:val="20"/>
      <w:szCs w:val="20"/>
    </w:rPr>
  </w:style>
  <w:style w:type="character" w:customStyle="1" w:styleId="Titolo6Carattere">
    <w:name w:val="Titolo 6 Carattere"/>
    <w:basedOn w:val="Carpredefinitoparagrafo"/>
    <w:link w:val="Titolo6"/>
    <w:uiPriority w:val="99"/>
    <w:semiHidden/>
    <w:rsid w:val="0031003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31003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31003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1003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310038"/>
    <w:rPr>
      <w:color w:val="0072BC" w:themeColor="hyperlink"/>
      <w:u w:val="single"/>
    </w:rPr>
  </w:style>
  <w:style w:type="character" w:styleId="Enfasiintensa">
    <w:name w:val="Intense Emphasis"/>
    <w:uiPriority w:val="99"/>
    <w:semiHidden/>
    <w:qFormat/>
    <w:rsid w:val="00310038"/>
    <w:rPr>
      <w:b/>
      <w:bCs/>
    </w:rPr>
  </w:style>
  <w:style w:type="paragraph" w:styleId="Citazioneintensa">
    <w:name w:val="Intense Quote"/>
    <w:basedOn w:val="Normale"/>
    <w:next w:val="Normale"/>
    <w:link w:val="CitazioneintensaCarattere"/>
    <w:uiPriority w:val="99"/>
    <w:semiHidden/>
    <w:qFormat/>
    <w:rsid w:val="00310038"/>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310038"/>
    <w:rPr>
      <w:rFonts w:eastAsiaTheme="minorEastAsia"/>
      <w:b/>
      <w:bCs/>
      <w:i/>
      <w:iCs/>
      <w:lang w:bidi="en-US"/>
    </w:rPr>
  </w:style>
  <w:style w:type="character" w:styleId="Riferimentointenso">
    <w:name w:val="Intense Reference"/>
    <w:uiPriority w:val="99"/>
    <w:semiHidden/>
    <w:qFormat/>
    <w:rsid w:val="00310038"/>
    <w:rPr>
      <w:smallCaps/>
      <w:spacing w:val="5"/>
      <w:u w:val="single"/>
    </w:rPr>
  </w:style>
  <w:style w:type="paragraph" w:styleId="Paragrafoelenco">
    <w:name w:val="List Paragraph"/>
    <w:basedOn w:val="Normale"/>
    <w:uiPriority w:val="99"/>
    <w:semiHidden/>
    <w:qFormat/>
    <w:rsid w:val="00310038"/>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310038"/>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310038"/>
    <w:rPr>
      <w:rFonts w:eastAsiaTheme="minorEastAsia"/>
      <w:i/>
      <w:iCs/>
      <w:lang w:bidi="en-US"/>
    </w:rPr>
  </w:style>
  <w:style w:type="character" w:styleId="Riferimentodelicato">
    <w:name w:val="Subtle Reference"/>
    <w:uiPriority w:val="99"/>
    <w:semiHidden/>
    <w:qFormat/>
    <w:rsid w:val="00310038"/>
    <w:rPr>
      <w:smallCaps/>
    </w:rPr>
  </w:style>
  <w:style w:type="table" w:styleId="Grigliatabella">
    <w:name w:val="Table Grid"/>
    <w:basedOn w:val="Tabellanormale"/>
    <w:uiPriority w:val="59"/>
    <w:semiHidden/>
    <w:rsid w:val="0031003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31003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31003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31003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31003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31003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31003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31003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link w:val="JuQuotChar"/>
    <w:uiPriority w:val="14"/>
    <w:qFormat/>
    <w:rsid w:val="00310038"/>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1003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310038"/>
    <w:pPr>
      <w:tabs>
        <w:tab w:val="center" w:pos="851"/>
        <w:tab w:val="center" w:pos="6407"/>
      </w:tabs>
      <w:spacing w:before="720"/>
      <w:jc w:val="left"/>
    </w:pPr>
  </w:style>
  <w:style w:type="paragraph" w:customStyle="1" w:styleId="JuParaLast">
    <w:name w:val="Ju_Para_Last"/>
    <w:basedOn w:val="Normale"/>
    <w:next w:val="ECHRPara"/>
    <w:uiPriority w:val="30"/>
    <w:qFormat/>
    <w:rsid w:val="00310038"/>
    <w:pPr>
      <w:keepNext/>
      <w:keepLines/>
      <w:spacing w:before="240"/>
      <w:ind w:firstLine="284"/>
    </w:pPr>
  </w:style>
  <w:style w:type="paragraph" w:customStyle="1" w:styleId="JuCase">
    <w:name w:val="Ju_Case"/>
    <w:basedOn w:val="Normale"/>
    <w:next w:val="ECHRPara"/>
    <w:uiPriority w:val="10"/>
    <w:rsid w:val="00310038"/>
    <w:pPr>
      <w:ind w:firstLine="284"/>
    </w:pPr>
    <w:rPr>
      <w:b/>
    </w:rPr>
  </w:style>
  <w:style w:type="paragraph" w:customStyle="1" w:styleId="JuList">
    <w:name w:val="Ju_List"/>
    <w:basedOn w:val="Normale"/>
    <w:uiPriority w:val="28"/>
    <w:qFormat/>
    <w:rsid w:val="00310038"/>
    <w:pPr>
      <w:ind w:left="340" w:hanging="340"/>
    </w:pPr>
  </w:style>
  <w:style w:type="paragraph" w:customStyle="1" w:styleId="JuParaSub">
    <w:name w:val="Ju_Para_Sub"/>
    <w:basedOn w:val="ECHRPara"/>
    <w:uiPriority w:val="13"/>
    <w:unhideWhenUsed/>
    <w:qFormat/>
    <w:rsid w:val="00310038"/>
    <w:pPr>
      <w:ind w:left="284"/>
    </w:pPr>
  </w:style>
  <w:style w:type="character" w:styleId="Numeropagina">
    <w:name w:val="page number"/>
    <w:uiPriority w:val="99"/>
    <w:semiHidden/>
    <w:rsid w:val="00E77CB3"/>
    <w:rPr>
      <w:rFonts w:ascii="Times New Roman" w:hAnsi="Times New Roman" w:cs="Times New Roman"/>
      <w:sz w:val="18"/>
    </w:rPr>
  </w:style>
  <w:style w:type="paragraph" w:customStyle="1" w:styleId="JuQuotSub">
    <w:name w:val="Ju_Quot_Sub"/>
    <w:basedOn w:val="ECHRParaQuote"/>
    <w:uiPriority w:val="15"/>
    <w:qFormat/>
    <w:rsid w:val="00310038"/>
    <w:pPr>
      <w:ind w:left="567"/>
    </w:pPr>
  </w:style>
  <w:style w:type="paragraph" w:customStyle="1" w:styleId="JuTitle">
    <w:name w:val="Ju_Title"/>
    <w:basedOn w:val="Normale"/>
    <w:next w:val="ECHRPara"/>
    <w:uiPriority w:val="3"/>
    <w:semiHidden/>
    <w:qFormat/>
    <w:rsid w:val="00310038"/>
    <w:pPr>
      <w:spacing w:before="720" w:after="240"/>
      <w:jc w:val="center"/>
      <w:outlineLvl w:val="0"/>
    </w:pPr>
    <w:rPr>
      <w:rFonts w:asciiTheme="majorHAnsi" w:hAnsiTheme="majorHAnsi"/>
      <w:b/>
      <w:caps/>
    </w:r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310038"/>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310038"/>
    <w:pPr>
      <w:ind w:left="833" w:hanging="357"/>
      <w:outlineLvl w:val="3"/>
    </w:pPr>
    <w:rPr>
      <w:b/>
      <w:i w:val="0"/>
      <w:sz w:val="20"/>
    </w:rPr>
  </w:style>
  <w:style w:type="paragraph" w:styleId="Sottotitolo">
    <w:name w:val="Subtitle"/>
    <w:basedOn w:val="Normale"/>
    <w:next w:val="Normale"/>
    <w:link w:val="SottotitoloCarattere"/>
    <w:uiPriority w:val="99"/>
    <w:semiHidden/>
    <w:qFormat/>
    <w:rsid w:val="00310038"/>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310038"/>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31003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31003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31003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310038"/>
    <w:pPr>
      <w:tabs>
        <w:tab w:val="clear" w:pos="357"/>
      </w:tabs>
      <w:outlineLvl w:val="1"/>
    </w:pPr>
    <w:rPr>
      <w:b/>
    </w:rPr>
  </w:style>
  <w:style w:type="paragraph" w:customStyle="1" w:styleId="OpiHi">
    <w:name w:val="Opi_H_i"/>
    <w:basedOn w:val="ECHRHeading4"/>
    <w:uiPriority w:val="44"/>
    <w:qFormat/>
    <w:rsid w:val="00310038"/>
    <w:pPr>
      <w:ind w:left="1037" w:hanging="357"/>
      <w:outlineLvl w:val="4"/>
    </w:pPr>
    <w:rPr>
      <w:b w:val="0"/>
      <w:i/>
    </w:rPr>
  </w:style>
  <w:style w:type="paragraph" w:customStyle="1" w:styleId="OpiPara">
    <w:name w:val="Opi_Para"/>
    <w:basedOn w:val="ECHRPara"/>
    <w:uiPriority w:val="46"/>
    <w:qFormat/>
    <w:rsid w:val="00310038"/>
  </w:style>
  <w:style w:type="paragraph" w:customStyle="1" w:styleId="OpiParaSub">
    <w:name w:val="Opi_Para_Sub"/>
    <w:basedOn w:val="JuParaSub"/>
    <w:uiPriority w:val="47"/>
    <w:unhideWhenUsed/>
    <w:qFormat/>
    <w:rsid w:val="00310038"/>
  </w:style>
  <w:style w:type="paragraph" w:customStyle="1" w:styleId="OpiQuot">
    <w:name w:val="Opi_Quot"/>
    <w:basedOn w:val="ECHRParaQuote"/>
    <w:uiPriority w:val="48"/>
    <w:qFormat/>
    <w:rsid w:val="00310038"/>
  </w:style>
  <w:style w:type="paragraph" w:customStyle="1" w:styleId="OpiQuotSub">
    <w:name w:val="Opi_Quot_Sub"/>
    <w:basedOn w:val="JuQuotSub"/>
    <w:uiPriority w:val="49"/>
    <w:qFormat/>
    <w:rsid w:val="00310038"/>
  </w:style>
  <w:style w:type="character" w:customStyle="1" w:styleId="ECHRParaChar">
    <w:name w:val="ECHR_Para Char"/>
    <w:aliases w:val="Ju_Para Char"/>
    <w:basedOn w:val="Carpredefinitoparagrafo"/>
    <w:link w:val="ECHRPara"/>
    <w:uiPriority w:val="12"/>
    <w:rsid w:val="00A819E0"/>
    <w:rPr>
      <w:rFonts w:eastAsiaTheme="minorEastAsia"/>
      <w:sz w:val="24"/>
    </w:rPr>
  </w:style>
  <w:style w:type="character" w:customStyle="1" w:styleId="JuQuotChar">
    <w:name w:val="Ju_Quot Char"/>
    <w:basedOn w:val="ECHRParaChar"/>
    <w:link w:val="ECHRParaQuote"/>
    <w:uiPriority w:val="14"/>
    <w:rsid w:val="00A819E0"/>
    <w:rPr>
      <w:rFonts w:eastAsiaTheme="minorEastAsia"/>
      <w:sz w:val="20"/>
    </w:rPr>
  </w:style>
  <w:style w:type="character" w:customStyle="1" w:styleId="JuH1Char">
    <w:name w:val="Ju_H_1. Char"/>
    <w:basedOn w:val="Carpredefinitoparagrafo"/>
    <w:link w:val="ECHRHeading3"/>
    <w:uiPriority w:val="21"/>
    <w:rsid w:val="00A819E0"/>
    <w:rPr>
      <w:rFonts w:asciiTheme="majorHAnsi" w:eastAsiaTheme="majorEastAsia" w:hAnsiTheme="majorHAnsi" w:cstheme="majorBidi"/>
      <w:bCs/>
      <w:i/>
      <w:sz w:val="24"/>
    </w:rPr>
  </w:style>
  <w:style w:type="character" w:customStyle="1" w:styleId="JuHAChar">
    <w:name w:val="Ju_H_A Char"/>
    <w:basedOn w:val="Carpredefinitoparagrafo"/>
    <w:link w:val="ECHRHeading2"/>
    <w:uiPriority w:val="20"/>
    <w:rsid w:val="00A819E0"/>
    <w:rPr>
      <w:rFonts w:asciiTheme="majorHAnsi" w:eastAsiaTheme="majorEastAsia" w:hAnsiTheme="majorHAnsi" w:cstheme="majorBidi"/>
      <w:b/>
      <w:bCs/>
      <w:sz w:val="24"/>
      <w:szCs w:val="26"/>
    </w:rPr>
  </w:style>
  <w:style w:type="paragraph" w:customStyle="1" w:styleId="OpiTranslation">
    <w:name w:val="Opi_Translation"/>
    <w:basedOn w:val="Normale"/>
    <w:next w:val="OpiPara"/>
    <w:uiPriority w:val="40"/>
    <w:qFormat/>
    <w:rsid w:val="00310038"/>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438">
      <w:bodyDiv w:val="1"/>
      <w:marLeft w:val="0"/>
      <w:marRight w:val="0"/>
      <w:marTop w:val="0"/>
      <w:marBottom w:val="0"/>
      <w:divBdr>
        <w:top w:val="none" w:sz="0" w:space="0" w:color="auto"/>
        <w:left w:val="none" w:sz="0" w:space="0" w:color="auto"/>
        <w:bottom w:val="none" w:sz="0" w:space="0" w:color="auto"/>
        <w:right w:val="none" w:sz="0" w:space="0" w:color="auto"/>
      </w:divBdr>
      <w:divsChild>
        <w:div w:id="346908803">
          <w:marLeft w:val="0"/>
          <w:marRight w:val="0"/>
          <w:marTop w:val="0"/>
          <w:marBottom w:val="0"/>
          <w:divBdr>
            <w:top w:val="none" w:sz="0" w:space="0" w:color="auto"/>
            <w:left w:val="none" w:sz="0" w:space="0" w:color="auto"/>
            <w:bottom w:val="none" w:sz="0" w:space="0" w:color="auto"/>
            <w:right w:val="none" w:sz="0" w:space="0" w:color="auto"/>
          </w:divBdr>
          <w:divsChild>
            <w:div w:id="366561776">
              <w:marLeft w:val="0"/>
              <w:marRight w:val="0"/>
              <w:marTop w:val="0"/>
              <w:marBottom w:val="0"/>
              <w:divBdr>
                <w:top w:val="none" w:sz="0" w:space="0" w:color="auto"/>
                <w:left w:val="none" w:sz="0" w:space="0" w:color="auto"/>
                <w:bottom w:val="none" w:sz="0" w:space="0" w:color="auto"/>
                <w:right w:val="none" w:sz="0" w:space="0" w:color="auto"/>
              </w:divBdr>
              <w:divsChild>
                <w:div w:id="1588807435">
                  <w:marLeft w:val="0"/>
                  <w:marRight w:val="0"/>
                  <w:marTop w:val="0"/>
                  <w:marBottom w:val="0"/>
                  <w:divBdr>
                    <w:top w:val="none" w:sz="0" w:space="0" w:color="auto"/>
                    <w:left w:val="none" w:sz="0" w:space="0" w:color="auto"/>
                    <w:bottom w:val="none" w:sz="0" w:space="0" w:color="auto"/>
                    <w:right w:val="none" w:sz="0" w:space="0" w:color="auto"/>
                  </w:divBdr>
                  <w:divsChild>
                    <w:div w:id="836766586">
                      <w:marLeft w:val="0"/>
                      <w:marRight w:val="0"/>
                      <w:marTop w:val="0"/>
                      <w:marBottom w:val="0"/>
                      <w:divBdr>
                        <w:top w:val="none" w:sz="0" w:space="0" w:color="auto"/>
                        <w:left w:val="none" w:sz="0" w:space="0" w:color="auto"/>
                        <w:bottom w:val="none" w:sz="0" w:space="0" w:color="auto"/>
                        <w:right w:val="none" w:sz="0" w:space="0" w:color="auto"/>
                      </w:divBdr>
                      <w:divsChild>
                        <w:div w:id="429664784">
                          <w:marLeft w:val="0"/>
                          <w:marRight w:val="0"/>
                          <w:marTop w:val="0"/>
                          <w:marBottom w:val="0"/>
                          <w:divBdr>
                            <w:top w:val="none" w:sz="0" w:space="0" w:color="auto"/>
                            <w:left w:val="none" w:sz="0" w:space="0" w:color="auto"/>
                            <w:bottom w:val="none" w:sz="0" w:space="0" w:color="auto"/>
                            <w:right w:val="none" w:sz="0" w:space="0" w:color="auto"/>
                          </w:divBdr>
                          <w:divsChild>
                            <w:div w:id="2066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956473">
      <w:bodyDiv w:val="1"/>
      <w:marLeft w:val="0"/>
      <w:marRight w:val="0"/>
      <w:marTop w:val="0"/>
      <w:marBottom w:val="0"/>
      <w:divBdr>
        <w:top w:val="none" w:sz="0" w:space="0" w:color="auto"/>
        <w:left w:val="none" w:sz="0" w:space="0" w:color="auto"/>
        <w:bottom w:val="none" w:sz="0" w:space="0" w:color="auto"/>
        <w:right w:val="none" w:sz="0" w:space="0" w:color="auto"/>
      </w:divBdr>
      <w:divsChild>
        <w:div w:id="1118835123">
          <w:marLeft w:val="0"/>
          <w:marRight w:val="0"/>
          <w:marTop w:val="0"/>
          <w:marBottom w:val="0"/>
          <w:divBdr>
            <w:top w:val="none" w:sz="0" w:space="0" w:color="auto"/>
            <w:left w:val="none" w:sz="0" w:space="0" w:color="auto"/>
            <w:bottom w:val="none" w:sz="0" w:space="0" w:color="auto"/>
            <w:right w:val="none" w:sz="0" w:space="0" w:color="auto"/>
          </w:divBdr>
          <w:divsChild>
            <w:div w:id="68384918">
              <w:marLeft w:val="0"/>
              <w:marRight w:val="0"/>
              <w:marTop w:val="0"/>
              <w:marBottom w:val="0"/>
              <w:divBdr>
                <w:top w:val="none" w:sz="0" w:space="0" w:color="auto"/>
                <w:left w:val="none" w:sz="0" w:space="0" w:color="auto"/>
                <w:bottom w:val="none" w:sz="0" w:space="0" w:color="auto"/>
                <w:right w:val="none" w:sz="0" w:space="0" w:color="auto"/>
              </w:divBdr>
              <w:divsChild>
                <w:div w:id="1533612156">
                  <w:marLeft w:val="0"/>
                  <w:marRight w:val="0"/>
                  <w:marTop w:val="0"/>
                  <w:marBottom w:val="0"/>
                  <w:divBdr>
                    <w:top w:val="none" w:sz="0" w:space="0" w:color="auto"/>
                    <w:left w:val="none" w:sz="0" w:space="0" w:color="auto"/>
                    <w:bottom w:val="none" w:sz="0" w:space="0" w:color="auto"/>
                    <w:right w:val="none" w:sz="0" w:space="0" w:color="auto"/>
                  </w:divBdr>
                  <w:divsChild>
                    <w:div w:id="1218202818">
                      <w:marLeft w:val="0"/>
                      <w:marRight w:val="0"/>
                      <w:marTop w:val="0"/>
                      <w:marBottom w:val="0"/>
                      <w:divBdr>
                        <w:top w:val="none" w:sz="0" w:space="0" w:color="auto"/>
                        <w:left w:val="none" w:sz="0" w:space="0" w:color="auto"/>
                        <w:bottom w:val="none" w:sz="0" w:space="0" w:color="auto"/>
                        <w:right w:val="none" w:sz="0" w:space="0" w:color="auto"/>
                      </w:divBdr>
                      <w:divsChild>
                        <w:div w:id="2069838487">
                          <w:marLeft w:val="0"/>
                          <w:marRight w:val="0"/>
                          <w:marTop w:val="0"/>
                          <w:marBottom w:val="0"/>
                          <w:divBdr>
                            <w:top w:val="none" w:sz="0" w:space="0" w:color="auto"/>
                            <w:left w:val="none" w:sz="0" w:space="0" w:color="auto"/>
                            <w:bottom w:val="none" w:sz="0" w:space="0" w:color="auto"/>
                            <w:right w:val="none" w:sz="0" w:space="0" w:color="auto"/>
                          </w:divBdr>
                          <w:divsChild>
                            <w:div w:id="9733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18051">
      <w:bodyDiv w:val="1"/>
      <w:marLeft w:val="0"/>
      <w:marRight w:val="0"/>
      <w:marTop w:val="0"/>
      <w:marBottom w:val="0"/>
      <w:divBdr>
        <w:top w:val="none" w:sz="0" w:space="0" w:color="auto"/>
        <w:left w:val="none" w:sz="0" w:space="0" w:color="auto"/>
        <w:bottom w:val="none" w:sz="0" w:space="0" w:color="auto"/>
        <w:right w:val="none" w:sz="0" w:space="0" w:color="auto"/>
      </w:divBdr>
      <w:divsChild>
        <w:div w:id="358898563">
          <w:marLeft w:val="0"/>
          <w:marRight w:val="0"/>
          <w:marTop w:val="0"/>
          <w:marBottom w:val="0"/>
          <w:divBdr>
            <w:top w:val="none" w:sz="0" w:space="0" w:color="auto"/>
            <w:left w:val="none" w:sz="0" w:space="0" w:color="auto"/>
            <w:bottom w:val="none" w:sz="0" w:space="0" w:color="auto"/>
            <w:right w:val="none" w:sz="0" w:space="0" w:color="auto"/>
          </w:divBdr>
          <w:divsChild>
            <w:div w:id="1597905429">
              <w:marLeft w:val="0"/>
              <w:marRight w:val="0"/>
              <w:marTop w:val="0"/>
              <w:marBottom w:val="0"/>
              <w:divBdr>
                <w:top w:val="none" w:sz="0" w:space="0" w:color="auto"/>
                <w:left w:val="none" w:sz="0" w:space="0" w:color="auto"/>
                <w:bottom w:val="none" w:sz="0" w:space="0" w:color="auto"/>
                <w:right w:val="none" w:sz="0" w:space="0" w:color="auto"/>
              </w:divBdr>
              <w:divsChild>
                <w:div w:id="1472794431">
                  <w:marLeft w:val="0"/>
                  <w:marRight w:val="0"/>
                  <w:marTop w:val="0"/>
                  <w:marBottom w:val="0"/>
                  <w:divBdr>
                    <w:top w:val="none" w:sz="0" w:space="0" w:color="auto"/>
                    <w:left w:val="none" w:sz="0" w:space="0" w:color="auto"/>
                    <w:bottom w:val="none" w:sz="0" w:space="0" w:color="auto"/>
                    <w:right w:val="none" w:sz="0" w:space="0" w:color="auto"/>
                  </w:divBdr>
                  <w:divsChild>
                    <w:div w:id="1250386076">
                      <w:marLeft w:val="0"/>
                      <w:marRight w:val="0"/>
                      <w:marTop w:val="0"/>
                      <w:marBottom w:val="0"/>
                      <w:divBdr>
                        <w:top w:val="none" w:sz="0" w:space="0" w:color="auto"/>
                        <w:left w:val="none" w:sz="0" w:space="0" w:color="auto"/>
                        <w:bottom w:val="none" w:sz="0" w:space="0" w:color="auto"/>
                        <w:right w:val="none" w:sz="0" w:space="0" w:color="auto"/>
                      </w:divBdr>
                      <w:divsChild>
                        <w:div w:id="169026898">
                          <w:marLeft w:val="0"/>
                          <w:marRight w:val="0"/>
                          <w:marTop w:val="0"/>
                          <w:marBottom w:val="0"/>
                          <w:divBdr>
                            <w:top w:val="none" w:sz="0" w:space="0" w:color="auto"/>
                            <w:left w:val="none" w:sz="0" w:space="0" w:color="auto"/>
                            <w:bottom w:val="none" w:sz="0" w:space="0" w:color="auto"/>
                            <w:right w:val="none" w:sz="0" w:space="0" w:color="auto"/>
                          </w:divBdr>
                          <w:divsChild>
                            <w:div w:id="1101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4B4A-69AD-4783-8D97-0F49FF5A2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14ACC5-428A-4186-BEF6-3FA57E328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B25A93-3EFA-44DC-B9EE-841D0A0A9C73}">
  <ds:schemaRefs>
    <ds:schemaRef ds:uri="http://schemas.microsoft.com/sharepoint/v3/contenttype/forms"/>
  </ds:schemaRefs>
</ds:datastoreItem>
</file>

<file path=customXml/itemProps4.xml><?xml version="1.0" encoding="utf-8"?>
<ds:datastoreItem xmlns:ds="http://schemas.openxmlformats.org/officeDocument/2006/customXml" ds:itemID="{E8A113B7-DF91-46DA-8781-7C278F09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3664</Words>
  <Characters>20889</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2016-09-07T08:41:00Z</dcterms:created>
  <dcterms:modified xsi:type="dcterms:W3CDTF">2016-09-07T08:41:00Z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